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6DE" w:rsidRDefault="00F73184">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6</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R1-21</w:t>
      </w:r>
      <w:r>
        <w:rPr>
          <w:rFonts w:ascii="Arial" w:hAnsi="Arial" w:cs="Arial" w:hint="eastAsia"/>
          <w:b/>
          <w:bCs/>
          <w:sz w:val="22"/>
          <w:szCs w:val="22"/>
        </w:rPr>
        <w:t>07824</w:t>
      </w:r>
    </w:p>
    <w:p w:rsidR="00B176DE" w:rsidRDefault="00F73184">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cs="Arial" w:hint="eastAsia"/>
          <w:b/>
          <w:bCs/>
          <w:sz w:val="22"/>
          <w:szCs w:val="22"/>
        </w:rPr>
        <w:t>August</w:t>
      </w:r>
      <w:r>
        <w:rPr>
          <w:rFonts w:ascii="Arial" w:hAnsi="Arial" w:cs="Arial"/>
          <w:b/>
          <w:bCs/>
          <w:sz w:val="22"/>
          <w:szCs w:val="22"/>
        </w:rPr>
        <w:t xml:space="preserve"> 1</w:t>
      </w:r>
      <w:r>
        <w:rPr>
          <w:rFonts w:ascii="Arial" w:hAnsi="Arial" w:cs="Arial" w:hint="eastAsia"/>
          <w:b/>
          <w:bCs/>
          <w:sz w:val="22"/>
          <w:szCs w:val="22"/>
        </w:rPr>
        <w:t>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b/>
          <w:bCs/>
          <w:sz w:val="22"/>
          <w:szCs w:val="22"/>
        </w:rPr>
        <w:t>27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b/>
          <w:bCs/>
          <w:sz w:val="22"/>
          <w:szCs w:val="22"/>
        </w:rPr>
        <w:t>2021</w:t>
      </w:r>
    </w:p>
    <w:p w:rsidR="00B176DE" w:rsidRDefault="00F73184">
      <w:pPr>
        <w:tabs>
          <w:tab w:val="left" w:pos="1985"/>
        </w:tabs>
        <w:spacing w:beforeLines="100" w:before="24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Enhancements to the IAB resource multiplexing</w:t>
      </w:r>
    </w:p>
    <w:p w:rsidR="00B176DE" w:rsidRDefault="00F73184">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Sanechips</w:t>
      </w:r>
    </w:p>
    <w:p w:rsidR="00B176DE" w:rsidRDefault="00F73184">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8.10.1</w:t>
      </w:r>
    </w:p>
    <w:p w:rsidR="00B176DE" w:rsidRDefault="00F73184">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B176DE" w:rsidRDefault="00F73184">
      <w:pPr>
        <w:pStyle w:val="1"/>
        <w:spacing w:before="120" w:after="120"/>
        <w:ind w:left="0"/>
        <w:rPr>
          <w:rFonts w:eastAsia="宋体" w:cs="Arial"/>
          <w:szCs w:val="32"/>
        </w:rPr>
      </w:pPr>
      <w:r>
        <w:rPr>
          <w:rFonts w:eastAsia="宋体" w:cs="Arial"/>
          <w:szCs w:val="32"/>
        </w:rPr>
        <w:t>Introduction</w:t>
      </w:r>
    </w:p>
    <w:p w:rsidR="00B176DE" w:rsidRDefault="00F73184">
      <w:pPr>
        <w:spacing w:before="120" w:after="120"/>
        <w:rPr>
          <w:sz w:val="20"/>
        </w:rPr>
      </w:pPr>
      <w:r>
        <w:rPr>
          <w:sz w:val="20"/>
        </w:rPr>
        <w:t xml:space="preserve">In order to support simultaneous </w:t>
      </w:r>
      <w:r>
        <w:rPr>
          <w:sz w:val="20"/>
        </w:rPr>
        <w:t>operation by IAB node’s child and parent links, some enhancements had been discussed</w:t>
      </w:r>
      <w:r>
        <w:rPr>
          <w:rFonts w:hint="eastAsia"/>
          <w:sz w:val="20"/>
        </w:rPr>
        <w:t xml:space="preserve">, </w:t>
      </w:r>
      <w:r>
        <w:rPr>
          <w:sz w:val="20"/>
        </w:rPr>
        <w:t>such as extension of the semi-static DU resource type indication to frequency domain, resource management in the spatial domain, dual-connectivity</w:t>
      </w:r>
      <w:r>
        <w:rPr>
          <w:rFonts w:hint="eastAsia"/>
          <w:sz w:val="20"/>
        </w:rPr>
        <w:t>,</w:t>
      </w:r>
      <w:r>
        <w:rPr>
          <w:sz w:val="20"/>
        </w:rPr>
        <w:t xml:space="preserve"> etc. In this contribut</w:t>
      </w:r>
      <w:r>
        <w:rPr>
          <w:sz w:val="20"/>
        </w:rPr>
        <w:t>ion, we will continue to provide views on these aspects.</w:t>
      </w:r>
    </w:p>
    <w:p w:rsidR="00B176DE" w:rsidRDefault="00F73184">
      <w:pPr>
        <w:pStyle w:val="1"/>
        <w:spacing w:before="120" w:after="120"/>
        <w:ind w:left="0"/>
        <w:rPr>
          <w:rFonts w:cs="Arial"/>
          <w:szCs w:val="32"/>
        </w:rPr>
      </w:pPr>
      <w:r>
        <w:rPr>
          <w:rFonts w:cs="Arial"/>
          <w:szCs w:val="32"/>
        </w:rPr>
        <w:t xml:space="preserve">Discussions </w:t>
      </w:r>
    </w:p>
    <w:p w:rsidR="00B176DE" w:rsidRDefault="00F73184">
      <w:pPr>
        <w:pStyle w:val="2"/>
        <w:spacing w:before="120" w:after="120"/>
        <w:ind w:left="991" w:right="210" w:hangingChars="354" w:hanging="991"/>
        <w:rPr>
          <w:sz w:val="20"/>
        </w:rPr>
      </w:pPr>
      <w:r>
        <w:rPr>
          <w:rFonts w:cs="Arial"/>
          <w:szCs w:val="28"/>
        </w:rPr>
        <w:t xml:space="preserve">DU resource </w:t>
      </w:r>
      <w:r>
        <w:rPr>
          <w:rFonts w:eastAsia="宋体" w:cs="Arial" w:hint="eastAsia"/>
          <w:szCs w:val="28"/>
        </w:rPr>
        <w:t>configuration</w:t>
      </w:r>
      <w:r>
        <w:rPr>
          <w:rFonts w:cs="Arial"/>
          <w:szCs w:val="28"/>
        </w:rPr>
        <w:t xml:space="preserve"> </w:t>
      </w:r>
      <w:r>
        <w:rPr>
          <w:rFonts w:eastAsia="宋体" w:cs="Arial" w:hint="eastAsia"/>
          <w:szCs w:val="28"/>
        </w:rPr>
        <w:t>in</w:t>
      </w:r>
      <w:r>
        <w:rPr>
          <w:rFonts w:cs="Arial"/>
          <w:szCs w:val="28"/>
        </w:rPr>
        <w:t xml:space="preserve"> frequency</w:t>
      </w:r>
      <w:r>
        <w:rPr>
          <w:rFonts w:eastAsia="宋体" w:cs="Arial"/>
          <w:szCs w:val="28"/>
        </w:rPr>
        <w:t xml:space="preserve"> </w:t>
      </w:r>
      <w:r>
        <w:rPr>
          <w:rFonts w:cs="Arial"/>
          <w:szCs w:val="28"/>
        </w:rPr>
        <w:t>domain</w:t>
      </w:r>
    </w:p>
    <w:p w:rsidR="00B176DE" w:rsidRDefault="00F73184">
      <w:pPr>
        <w:pStyle w:val="3"/>
        <w:spacing w:after="120"/>
        <w:ind w:right="210"/>
      </w:pPr>
      <w:r>
        <w:t>Semi-static resource configuration</w:t>
      </w:r>
    </w:p>
    <w:p w:rsidR="00B176DE" w:rsidRDefault="00F73184">
      <w:pPr>
        <w:spacing w:before="120" w:after="120"/>
        <w:rPr>
          <w:sz w:val="20"/>
        </w:rPr>
      </w:pPr>
      <w:r>
        <w:rPr>
          <w:sz w:val="20"/>
        </w:rPr>
        <w:t>The following agreements have been made in RAN1#10</w:t>
      </w:r>
      <w:r>
        <w:rPr>
          <w:rFonts w:hint="eastAsia"/>
          <w:sz w:val="20"/>
        </w:rPr>
        <w:t>5</w:t>
      </w:r>
      <w:r>
        <w:rPr>
          <w:sz w:val="20"/>
        </w:rPr>
        <w:t>-e on semi-static resource configuration for DU</w:t>
      </w:r>
      <w:r w:rsidR="00A17866">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B176DE">
        <w:trPr>
          <w:trHeight w:val="1120"/>
        </w:trPr>
        <w:tc>
          <w:tcPr>
            <w:tcW w:w="9876" w:type="dxa"/>
          </w:tcPr>
          <w:p w:rsidR="00B176DE" w:rsidRDefault="00F73184">
            <w:pPr>
              <w:spacing w:before="120" w:after="120"/>
              <w:ind w:left="1260" w:hanging="1260"/>
              <w:contextualSpacing/>
              <w:rPr>
                <w:rFonts w:cs="Times"/>
                <w:b/>
                <w:sz w:val="20"/>
                <w:highlight w:val="green"/>
              </w:rPr>
            </w:pPr>
            <w:r>
              <w:rPr>
                <w:rFonts w:cs="Times"/>
                <w:b/>
                <w:sz w:val="20"/>
                <w:highlight w:val="green"/>
              </w:rPr>
              <w:t>Ag</w:t>
            </w:r>
            <w:r>
              <w:rPr>
                <w:rFonts w:cs="Times"/>
                <w:b/>
                <w:sz w:val="20"/>
                <w:highlight w:val="green"/>
              </w:rPr>
              <w:t>reement</w:t>
            </w:r>
          </w:p>
          <w:p w:rsidR="00B176DE" w:rsidRDefault="00F73184">
            <w:pPr>
              <w:spacing w:before="120" w:after="120"/>
              <w:contextualSpacing/>
              <w:rPr>
                <w:rFonts w:cs="Times"/>
                <w:bCs/>
                <w:sz w:val="20"/>
              </w:rPr>
            </w:pPr>
            <w:r>
              <w:rPr>
                <w:rFonts w:cs="Times"/>
                <w:bCs/>
                <w:sz w:val="20"/>
              </w:rPr>
              <w:t>For frequency domain multiplexing, H/S/NA configurations for an IAB-node are provided separately in addition to the Rel-16 H/S/NA</w:t>
            </w:r>
          </w:p>
          <w:p w:rsidR="00B176DE" w:rsidRDefault="00B176DE">
            <w:pPr>
              <w:spacing w:before="120" w:after="120"/>
              <w:rPr>
                <w:rFonts w:cs="Times"/>
                <w:bCs/>
                <w:sz w:val="20"/>
              </w:rPr>
            </w:pPr>
          </w:p>
          <w:p w:rsidR="00B176DE" w:rsidRDefault="00F73184">
            <w:pPr>
              <w:spacing w:before="120" w:after="120"/>
              <w:rPr>
                <w:rFonts w:cs="Times"/>
                <w:sz w:val="20"/>
              </w:rPr>
            </w:pPr>
            <w:r>
              <w:rPr>
                <w:rFonts w:cs="Times"/>
                <w:b/>
                <w:bCs/>
                <w:color w:val="000000"/>
                <w:sz w:val="20"/>
                <w:highlight w:val="green"/>
                <w:shd w:val="clear" w:color="auto" w:fill="FFFF00"/>
              </w:rPr>
              <w:t>Agreement</w:t>
            </w:r>
          </w:p>
          <w:p w:rsidR="00B176DE" w:rsidRDefault="00F73184">
            <w:pPr>
              <w:spacing w:before="120" w:after="120"/>
              <w:rPr>
                <w:rFonts w:cs="Times"/>
                <w:sz w:val="20"/>
              </w:rPr>
            </w:pPr>
            <w:r>
              <w:rPr>
                <w:rFonts w:cs="Times"/>
                <w:bCs/>
                <w:sz w:val="20"/>
              </w:rPr>
              <w:t>If an IAB node is configured with a frequency-domain H/S/NA configuration down select between the following</w:t>
            </w:r>
            <w:r>
              <w:rPr>
                <w:rFonts w:cs="Times"/>
                <w:bCs/>
                <w:sz w:val="20"/>
              </w:rPr>
              <w:t xml:space="preserve"> options:</w:t>
            </w:r>
          </w:p>
          <w:p w:rsidR="00B176DE" w:rsidRDefault="00F73184">
            <w:pPr>
              <w:numPr>
                <w:ilvl w:val="0"/>
                <w:numId w:val="8"/>
              </w:numPr>
              <w:spacing w:before="120" w:after="120"/>
              <w:rPr>
                <w:rFonts w:eastAsia="Times New Roman" w:cs="Times"/>
                <w:bCs/>
                <w:color w:val="000000"/>
                <w:sz w:val="20"/>
              </w:rPr>
            </w:pPr>
            <w:r>
              <w:rPr>
                <w:rFonts w:eastAsia="Times New Roman" w:cs="Times"/>
                <w:bCs/>
                <w:color w:val="000000"/>
                <w:sz w:val="20"/>
              </w:rPr>
              <w:t>Alt. 1 Either the Rel-16 H/S/NA configuration or frequency domain configuration is applied for a given resource</w:t>
            </w:r>
          </w:p>
          <w:p w:rsidR="00B176DE" w:rsidRDefault="00F73184">
            <w:pPr>
              <w:numPr>
                <w:ilvl w:val="1"/>
                <w:numId w:val="8"/>
              </w:numPr>
              <w:spacing w:before="120" w:after="120"/>
              <w:rPr>
                <w:rFonts w:eastAsia="Times New Roman" w:cs="Times"/>
                <w:bCs/>
                <w:color w:val="000000"/>
                <w:sz w:val="20"/>
              </w:rPr>
            </w:pPr>
            <w:r>
              <w:rPr>
                <w:rFonts w:eastAsia="Times New Roman" w:cs="Times"/>
                <w:bCs/>
                <w:color w:val="000000"/>
                <w:sz w:val="20"/>
              </w:rPr>
              <w:t>FFS: Whether configurations are switched with per-slot, per-resource type within a slot, or per-symbol granularity</w:t>
            </w:r>
          </w:p>
          <w:p w:rsidR="00B176DE" w:rsidRDefault="00F73184">
            <w:pPr>
              <w:numPr>
                <w:ilvl w:val="0"/>
                <w:numId w:val="8"/>
              </w:numPr>
              <w:spacing w:before="120" w:after="120"/>
              <w:rPr>
                <w:rFonts w:eastAsia="Times New Roman" w:cs="Times"/>
                <w:bCs/>
                <w:color w:val="000000"/>
                <w:sz w:val="20"/>
              </w:rPr>
            </w:pPr>
            <w:r>
              <w:rPr>
                <w:rFonts w:eastAsia="Times New Roman" w:cs="Times"/>
                <w:bCs/>
                <w:color w:val="000000"/>
                <w:sz w:val="20"/>
              </w:rPr>
              <w:t xml:space="preserve">Alt. 2 The Rel-16 </w:t>
            </w:r>
            <w:r>
              <w:rPr>
                <w:rFonts w:eastAsia="Times New Roman" w:cs="Times"/>
                <w:bCs/>
                <w:color w:val="000000"/>
                <w:sz w:val="20"/>
              </w:rPr>
              <w:t>H/S/NA configuration and frequency domain configuration are jointly applied</w:t>
            </w:r>
          </w:p>
          <w:p w:rsidR="00B176DE" w:rsidRDefault="00B176DE">
            <w:pPr>
              <w:pStyle w:val="a5"/>
              <w:spacing w:before="120"/>
              <w:rPr>
                <w:rFonts w:eastAsia="Malgun Gothic" w:cs="Times"/>
                <w:sz w:val="20"/>
              </w:rPr>
            </w:pPr>
          </w:p>
          <w:p w:rsidR="00B176DE" w:rsidRDefault="00F73184">
            <w:pPr>
              <w:spacing w:before="120" w:after="120"/>
              <w:rPr>
                <w:rFonts w:cs="Times"/>
                <w:sz w:val="20"/>
              </w:rPr>
            </w:pPr>
            <w:r>
              <w:rPr>
                <w:rFonts w:cs="Times"/>
                <w:b/>
                <w:bCs/>
                <w:color w:val="000000"/>
                <w:sz w:val="20"/>
                <w:highlight w:val="green"/>
                <w:shd w:val="clear" w:color="auto" w:fill="FFFF00"/>
              </w:rPr>
              <w:t>Agreement</w:t>
            </w:r>
          </w:p>
          <w:p w:rsidR="00B176DE" w:rsidRDefault="00F73184">
            <w:pPr>
              <w:spacing w:before="120" w:after="120"/>
              <w:rPr>
                <w:rFonts w:cs="Times"/>
                <w:sz w:val="20"/>
              </w:rPr>
            </w:pPr>
            <w:r>
              <w:rPr>
                <w:rFonts w:cs="Times"/>
                <w:bCs/>
                <w:sz w:val="20"/>
              </w:rPr>
              <w:t>The minimum resource size for configuring the frequency domain granularity is a set of N RBs:</w:t>
            </w:r>
          </w:p>
          <w:p w:rsidR="00B176DE" w:rsidRDefault="00F73184">
            <w:pPr>
              <w:numPr>
                <w:ilvl w:val="0"/>
                <w:numId w:val="8"/>
              </w:numPr>
              <w:spacing w:before="120" w:after="120"/>
              <w:rPr>
                <w:rFonts w:eastAsia="Times New Roman" w:cs="Times"/>
                <w:bCs/>
                <w:color w:val="000000"/>
                <w:sz w:val="20"/>
              </w:rPr>
            </w:pPr>
            <w:r>
              <w:rPr>
                <w:rFonts w:eastAsia="Times New Roman" w:cs="Times"/>
                <w:bCs/>
                <w:color w:val="000000"/>
                <w:sz w:val="20"/>
              </w:rPr>
              <w:t>Candidate values for N: {4, 8, 16, other values TBD}</w:t>
            </w:r>
          </w:p>
          <w:p w:rsidR="00B176DE" w:rsidRDefault="00F73184">
            <w:pPr>
              <w:numPr>
                <w:ilvl w:val="0"/>
                <w:numId w:val="8"/>
              </w:numPr>
              <w:spacing w:before="120" w:after="120"/>
              <w:rPr>
                <w:rFonts w:eastAsia="Times New Roman" w:cs="Times"/>
                <w:bCs/>
                <w:color w:val="000000"/>
                <w:sz w:val="20"/>
              </w:rPr>
            </w:pPr>
            <w:r>
              <w:rPr>
                <w:rFonts w:eastAsia="Times New Roman" w:cs="Times"/>
                <w:bCs/>
                <w:color w:val="000000"/>
                <w:sz w:val="20"/>
              </w:rPr>
              <w:t>N is</w:t>
            </w:r>
            <w:r>
              <w:rPr>
                <w:rFonts w:cs="Times" w:hint="eastAsia"/>
                <w:color w:val="000000"/>
                <w:sz w:val="20"/>
              </w:rPr>
              <w:t xml:space="preserve"> </w:t>
            </w:r>
            <w:r>
              <w:rPr>
                <w:rFonts w:eastAsia="Times New Roman" w:cs="Times"/>
                <w:bCs/>
                <w:color w:val="000000"/>
                <w:sz w:val="20"/>
              </w:rPr>
              <w:t>at least the # PR</w:t>
            </w:r>
            <w:r>
              <w:rPr>
                <w:rFonts w:eastAsia="Times New Roman" w:cs="Times"/>
                <w:bCs/>
                <w:color w:val="000000"/>
                <w:sz w:val="20"/>
              </w:rPr>
              <w:t>Bs that are corresponding to the MT’s # PRBs of an RBG).</w:t>
            </w:r>
          </w:p>
          <w:p w:rsidR="00B176DE" w:rsidRDefault="00F73184">
            <w:pPr>
              <w:numPr>
                <w:ilvl w:val="0"/>
                <w:numId w:val="8"/>
              </w:numPr>
              <w:spacing w:before="120" w:after="120"/>
              <w:rPr>
                <w:rFonts w:eastAsia="Times New Roman" w:cs="Times"/>
                <w:bCs/>
                <w:color w:val="000000"/>
                <w:sz w:val="20"/>
              </w:rPr>
            </w:pPr>
            <w:r>
              <w:rPr>
                <w:rFonts w:eastAsia="Times New Roman" w:cs="Times"/>
                <w:bCs/>
                <w:color w:val="000000"/>
                <w:sz w:val="20"/>
              </w:rPr>
              <w:t>FFS: Scaling or configuration of N based on system BW or size of IAB-MT BWP</w:t>
            </w:r>
          </w:p>
          <w:p w:rsidR="00B176DE" w:rsidRDefault="00B176DE">
            <w:pPr>
              <w:spacing w:before="120" w:after="120"/>
              <w:rPr>
                <w:sz w:val="20"/>
              </w:rPr>
            </w:pPr>
          </w:p>
        </w:tc>
      </w:tr>
    </w:tbl>
    <w:p w:rsidR="00B176DE" w:rsidRDefault="00B176DE">
      <w:pPr>
        <w:spacing w:beforeLines="0" w:afterLines="0" w:line="259" w:lineRule="auto"/>
        <w:rPr>
          <w:sz w:val="20"/>
        </w:rPr>
      </w:pPr>
    </w:p>
    <w:p w:rsidR="00B176DE" w:rsidRDefault="00F73184">
      <w:pPr>
        <w:spacing w:beforeLines="0" w:afterLines="0" w:line="259" w:lineRule="auto"/>
        <w:rPr>
          <w:bCs/>
          <w:sz w:val="20"/>
        </w:rPr>
      </w:pPr>
      <w:r>
        <w:rPr>
          <w:sz w:val="20"/>
        </w:rPr>
        <w:t xml:space="preserve">According to above agreements, it was agreed that H/S/NA resource configuration in frequency-domain within a carrier is supported. However, there are still some remaining issues to be handled, such as, </w:t>
      </w:r>
      <w:r>
        <w:rPr>
          <w:rFonts w:hint="eastAsia"/>
          <w:sz w:val="20"/>
        </w:rPr>
        <w:t xml:space="preserve">the candidate values for N of the </w:t>
      </w:r>
      <w:r>
        <w:rPr>
          <w:rFonts w:eastAsia="Times New Roman"/>
          <w:bCs/>
          <w:sz w:val="20"/>
          <w:lang w:eastAsia="en-US"/>
        </w:rPr>
        <w:t>minimum resource siz</w:t>
      </w:r>
      <w:r>
        <w:rPr>
          <w:rFonts w:eastAsia="Times New Roman"/>
          <w:bCs/>
          <w:sz w:val="20"/>
          <w:lang w:eastAsia="en-US"/>
        </w:rPr>
        <w:t>e</w:t>
      </w:r>
      <w:r>
        <w:rPr>
          <w:rFonts w:hint="eastAsia"/>
          <w:bCs/>
          <w:sz w:val="20"/>
        </w:rPr>
        <w:t>,</w:t>
      </w:r>
      <w:r>
        <w:rPr>
          <w:bCs/>
          <w:sz w:val="20"/>
        </w:rPr>
        <w:t xml:space="preserve"> </w:t>
      </w:r>
      <w:r>
        <w:rPr>
          <w:rFonts w:hint="eastAsia"/>
          <w:bCs/>
          <w:sz w:val="20"/>
        </w:rPr>
        <w:t xml:space="preserve">the details of </w:t>
      </w:r>
      <w:r>
        <w:rPr>
          <w:rFonts w:cs="Times"/>
          <w:bCs/>
          <w:sz w:val="20"/>
        </w:rPr>
        <w:t>frequency-domain H/S/NA configuration</w:t>
      </w:r>
      <w:r>
        <w:rPr>
          <w:rFonts w:hint="eastAsia"/>
          <w:bCs/>
          <w:sz w:val="20"/>
        </w:rPr>
        <w:t xml:space="preserve"> and Rel-16 H/S/NA configuration, and how to apply Rel-16 H/S/NA configuration</w:t>
      </w:r>
      <w:r>
        <w:rPr>
          <w:rFonts w:cs="Times" w:hint="eastAsia"/>
          <w:bCs/>
          <w:sz w:val="20"/>
        </w:rPr>
        <w:t xml:space="preserve"> and </w:t>
      </w:r>
      <w:r>
        <w:rPr>
          <w:rFonts w:cs="Times"/>
          <w:bCs/>
          <w:sz w:val="20"/>
        </w:rPr>
        <w:t>frequency-domain H/S/NA configuration</w:t>
      </w:r>
      <w:r>
        <w:rPr>
          <w:rFonts w:cs="Times" w:hint="eastAsia"/>
          <w:bCs/>
          <w:sz w:val="20"/>
        </w:rPr>
        <w:t xml:space="preserve"> </w:t>
      </w:r>
      <w:r>
        <w:rPr>
          <w:rFonts w:hint="eastAsia"/>
          <w:bCs/>
          <w:sz w:val="20"/>
        </w:rPr>
        <w:t>to IAB node DU resources</w:t>
      </w:r>
      <w:r>
        <w:rPr>
          <w:bCs/>
          <w:sz w:val="20"/>
        </w:rPr>
        <w:t>.</w:t>
      </w:r>
    </w:p>
    <w:p w:rsidR="00B176DE" w:rsidRDefault="00F73184">
      <w:pPr>
        <w:spacing w:beforeLines="0" w:afterLines="0" w:line="259" w:lineRule="auto"/>
        <w:rPr>
          <w:rFonts w:cs="Times"/>
          <w:bCs/>
          <w:sz w:val="20"/>
        </w:rPr>
      </w:pPr>
      <w:r>
        <w:rPr>
          <w:rFonts w:hint="eastAsia"/>
          <w:bCs/>
          <w:sz w:val="20"/>
        </w:rPr>
        <w:lastRenderedPageBreak/>
        <w:t xml:space="preserve">For the minimum resource size (i.e. a set of N RBs) for </w:t>
      </w:r>
      <w:r>
        <w:rPr>
          <w:rFonts w:eastAsia="Times New Roman" w:cs="Times"/>
          <w:bCs/>
          <w:color w:val="000000"/>
          <w:sz w:val="20"/>
        </w:rPr>
        <w:t>frequency domain configuration</w:t>
      </w:r>
      <w:r>
        <w:rPr>
          <w:rFonts w:hint="eastAsia"/>
          <w:bCs/>
          <w:sz w:val="20"/>
        </w:rPr>
        <w:t xml:space="preserve"> </w:t>
      </w:r>
      <w:r>
        <w:rPr>
          <w:rFonts w:cs="Times"/>
          <w:bCs/>
          <w:sz w:val="20"/>
        </w:rPr>
        <w:t>granularity</w:t>
      </w:r>
      <w:r>
        <w:rPr>
          <w:rFonts w:cs="Times" w:hint="eastAsia"/>
          <w:bCs/>
          <w:sz w:val="20"/>
        </w:rPr>
        <w:t>, it has been agreed that candidate values for N can be 4,8,16, and other values TBD. From the perspective of configuration flexibility, we suggest that N=1 c</w:t>
      </w:r>
      <w:r>
        <w:rPr>
          <w:rFonts w:cs="Times" w:hint="eastAsia"/>
          <w:bCs/>
          <w:sz w:val="20"/>
        </w:rPr>
        <w:t>an be additionally supported, and the actual value of N is configured by CU.</w:t>
      </w:r>
    </w:p>
    <w:p w:rsidR="00B176DE" w:rsidRDefault="00F73184">
      <w:pPr>
        <w:pStyle w:val="YJ-Proposal"/>
        <w:spacing w:before="120" w:after="120"/>
        <w:rPr>
          <w:lang w:val="en-US" w:eastAsia="zh-CN"/>
        </w:rPr>
      </w:pPr>
      <w:r>
        <w:t xml:space="preserve"> </w:t>
      </w:r>
      <w:bookmarkStart w:id="0" w:name="_Toc28263"/>
      <w:bookmarkStart w:id="1" w:name="_Toc324"/>
      <w:bookmarkStart w:id="2" w:name="_Toc2599"/>
      <w:bookmarkStart w:id="3" w:name="_Toc14700"/>
      <w:bookmarkStart w:id="4" w:name="_Toc31995"/>
      <w:bookmarkStart w:id="5" w:name="_Toc79164569"/>
      <w:r>
        <w:rPr>
          <w:rFonts w:hint="eastAsia"/>
          <w:lang w:val="en-US" w:eastAsia="zh-CN"/>
        </w:rPr>
        <w:t>For t</w:t>
      </w:r>
      <w:r>
        <w:rPr>
          <w:rFonts w:cs="Times"/>
        </w:rPr>
        <w:t>he minimum resource size</w:t>
      </w:r>
      <w:r>
        <w:rPr>
          <w:rFonts w:cs="Times" w:hint="eastAsia"/>
          <w:lang w:val="en-US" w:eastAsia="zh-CN"/>
        </w:rPr>
        <w:t xml:space="preserve"> (a set of N RBs)</w:t>
      </w:r>
      <w:r>
        <w:rPr>
          <w:rFonts w:cs="Times"/>
        </w:rPr>
        <w:t xml:space="preserve"> for configuring the frequency domain granularity</w:t>
      </w:r>
      <w:r>
        <w:rPr>
          <w:rFonts w:cs="Times" w:hint="eastAsia"/>
          <w:lang w:val="en-US" w:eastAsia="zh-CN"/>
        </w:rPr>
        <w:t>,</w:t>
      </w:r>
      <w:bookmarkEnd w:id="5"/>
    </w:p>
    <w:p w:rsidR="00B176DE" w:rsidRDefault="00F73184">
      <w:pPr>
        <w:pStyle w:val="YJ-Proposal"/>
        <w:numPr>
          <w:ilvl w:val="1"/>
          <w:numId w:val="3"/>
        </w:numPr>
        <w:spacing w:before="120" w:after="120"/>
        <w:rPr>
          <w:lang w:val="en-US" w:eastAsia="zh-CN"/>
        </w:rPr>
      </w:pPr>
      <w:bookmarkStart w:id="6" w:name="_Toc79164570"/>
      <w:r>
        <w:rPr>
          <w:rFonts w:cs="Times" w:hint="eastAsia"/>
          <w:lang w:val="en-US" w:eastAsia="zh-CN"/>
        </w:rPr>
        <w:t>Candidate values for N can be 1,</w:t>
      </w:r>
      <w:r w:rsidR="00A17866">
        <w:rPr>
          <w:rFonts w:cs="Times" w:hint="eastAsia"/>
          <w:lang w:val="en-US" w:eastAsia="zh-CN"/>
        </w:rPr>
        <w:t xml:space="preserve"> </w:t>
      </w:r>
      <w:r>
        <w:rPr>
          <w:rFonts w:cs="Times" w:hint="eastAsia"/>
          <w:lang w:val="en-US" w:eastAsia="zh-CN"/>
        </w:rPr>
        <w:t>4,</w:t>
      </w:r>
      <w:r w:rsidR="00A17866">
        <w:rPr>
          <w:rFonts w:cs="Times" w:hint="eastAsia"/>
          <w:lang w:val="en-US" w:eastAsia="zh-CN"/>
        </w:rPr>
        <w:t xml:space="preserve"> </w:t>
      </w:r>
      <w:r w:rsidR="0049349F">
        <w:rPr>
          <w:rFonts w:cs="Times" w:hint="eastAsia"/>
          <w:lang w:val="en-US" w:eastAsia="zh-CN"/>
        </w:rPr>
        <w:t>8, 16.</w:t>
      </w:r>
      <w:bookmarkEnd w:id="6"/>
    </w:p>
    <w:p w:rsidR="00B176DE" w:rsidRDefault="00F73184">
      <w:pPr>
        <w:pStyle w:val="YJ-Proposal"/>
        <w:numPr>
          <w:ilvl w:val="1"/>
          <w:numId w:val="3"/>
        </w:numPr>
        <w:spacing w:before="120" w:after="120"/>
        <w:rPr>
          <w:lang w:val="en-US" w:eastAsia="zh-CN"/>
        </w:rPr>
      </w:pPr>
      <w:bookmarkStart w:id="7" w:name="_Toc79164571"/>
      <w:r>
        <w:rPr>
          <w:rFonts w:cs="Times" w:hint="eastAsia"/>
          <w:lang w:val="en-US" w:eastAsia="zh-CN"/>
        </w:rPr>
        <w:t xml:space="preserve">It is up to CU implementation how to set </w:t>
      </w:r>
      <w:r>
        <w:rPr>
          <w:rFonts w:cs="Times" w:hint="eastAsia"/>
          <w:lang w:val="en-US" w:eastAsia="zh-CN"/>
        </w:rPr>
        <w:t>the actual value of N.</w:t>
      </w:r>
      <w:bookmarkEnd w:id="7"/>
      <w:r>
        <w:rPr>
          <w:rFonts w:cs="Times" w:hint="eastAsia"/>
          <w:lang w:val="en-US" w:eastAsia="zh-CN"/>
        </w:rPr>
        <w:t xml:space="preserve"> </w:t>
      </w:r>
      <w:bookmarkEnd w:id="0"/>
      <w:bookmarkEnd w:id="1"/>
      <w:bookmarkEnd w:id="2"/>
      <w:bookmarkEnd w:id="3"/>
      <w:bookmarkEnd w:id="4"/>
    </w:p>
    <w:p w:rsidR="00B176DE" w:rsidRDefault="00F73184">
      <w:pPr>
        <w:spacing w:beforeLines="0" w:afterLines="0" w:line="259" w:lineRule="auto"/>
        <w:rPr>
          <w:bCs/>
          <w:sz w:val="20"/>
        </w:rPr>
      </w:pPr>
      <w:r>
        <w:rPr>
          <w:rFonts w:hint="eastAsia"/>
          <w:bCs/>
          <w:sz w:val="20"/>
        </w:rPr>
        <w:t>I</w:t>
      </w:r>
      <w:r>
        <w:rPr>
          <w:bCs/>
          <w:sz w:val="20"/>
        </w:rPr>
        <w:t xml:space="preserve">n our view, </w:t>
      </w:r>
      <w:r>
        <w:rPr>
          <w:rFonts w:cs="Times"/>
          <w:bCs/>
          <w:sz w:val="20"/>
        </w:rPr>
        <w:t>frequency-domain H/S/NA</w:t>
      </w:r>
      <w:r>
        <w:rPr>
          <w:bCs/>
          <w:sz w:val="20"/>
        </w:rPr>
        <w:t xml:space="preserve"> can be configured per RB set</w:t>
      </w:r>
      <w:r>
        <w:rPr>
          <w:rFonts w:hint="eastAsia"/>
          <w:bCs/>
          <w:sz w:val="20"/>
        </w:rPr>
        <w:t xml:space="preserve"> instead of per </w:t>
      </w:r>
      <w:r>
        <w:rPr>
          <w:rFonts w:cs="Times"/>
          <w:bCs/>
          <w:sz w:val="20"/>
        </w:rPr>
        <w:t>the frequency domain granularity</w:t>
      </w:r>
      <w:r>
        <w:rPr>
          <w:rFonts w:cs="Times" w:hint="eastAsia"/>
          <w:bCs/>
          <w:sz w:val="20"/>
        </w:rPr>
        <w:t>(i.e.,</w:t>
      </w:r>
      <w:r>
        <w:rPr>
          <w:rFonts w:hint="eastAsia"/>
          <w:bCs/>
          <w:sz w:val="20"/>
        </w:rPr>
        <w:t xml:space="preserve"> per N RBs), and one RB set for </w:t>
      </w:r>
      <w:r>
        <w:rPr>
          <w:rFonts w:cs="Times"/>
          <w:bCs/>
          <w:sz w:val="20"/>
        </w:rPr>
        <w:t>frequency-domain H/S/NA configuration</w:t>
      </w:r>
      <w:r>
        <w:rPr>
          <w:rFonts w:cs="Times" w:hint="eastAsia"/>
          <w:bCs/>
          <w:sz w:val="20"/>
        </w:rPr>
        <w:t xml:space="preserve"> can be a multiple of N RBs</w:t>
      </w:r>
      <w:r>
        <w:rPr>
          <w:rFonts w:hint="eastAsia"/>
          <w:bCs/>
          <w:sz w:val="20"/>
        </w:rPr>
        <w:t xml:space="preserve">. </w:t>
      </w:r>
      <w:r>
        <w:rPr>
          <w:rFonts w:hint="eastAsia"/>
          <w:bCs/>
          <w:sz w:val="20"/>
        </w:rPr>
        <w:t>For instance,</w:t>
      </w:r>
      <w:r>
        <w:rPr>
          <w:rFonts w:hint="eastAsia"/>
          <w:bCs/>
          <w:sz w:val="20"/>
        </w:rPr>
        <w:t xml:space="preserve"> </w:t>
      </w:r>
      <w:r>
        <w:rPr>
          <w:bCs/>
          <w:sz w:val="20"/>
        </w:rPr>
        <w:t>e</w:t>
      </w:r>
      <w:r>
        <w:rPr>
          <w:bCs/>
          <w:sz w:val="20"/>
        </w:rPr>
        <w:t xml:space="preserve">ach RB set can be indicated by the starting </w:t>
      </w:r>
      <w:r>
        <w:rPr>
          <w:rFonts w:hint="eastAsia"/>
          <w:bCs/>
          <w:sz w:val="20"/>
        </w:rPr>
        <w:t xml:space="preserve">set of N PRBs </w:t>
      </w:r>
      <w:r>
        <w:rPr>
          <w:bCs/>
          <w:sz w:val="20"/>
        </w:rPr>
        <w:t xml:space="preserve">and the number of consecutive </w:t>
      </w:r>
      <w:r>
        <w:rPr>
          <w:rFonts w:hint="eastAsia"/>
          <w:bCs/>
          <w:sz w:val="20"/>
        </w:rPr>
        <w:t xml:space="preserve">sets of N </w:t>
      </w:r>
      <w:r>
        <w:rPr>
          <w:bCs/>
          <w:sz w:val="20"/>
        </w:rPr>
        <w:t>PRBs</w:t>
      </w:r>
      <w:r>
        <w:rPr>
          <w:rFonts w:hint="eastAsia"/>
          <w:bCs/>
          <w:sz w:val="20"/>
        </w:rPr>
        <w:t xml:space="preserve"> </w:t>
      </w:r>
      <w:r>
        <w:rPr>
          <w:bCs/>
          <w:sz w:val="20"/>
        </w:rPr>
        <w:t>within a carrier (e.g.</w:t>
      </w:r>
      <w:r>
        <w:rPr>
          <w:rFonts w:hint="eastAsia"/>
          <w:bCs/>
          <w:sz w:val="20"/>
        </w:rPr>
        <w:t>,</w:t>
      </w:r>
      <w:r>
        <w:rPr>
          <w:bCs/>
          <w:sz w:val="20"/>
        </w:rPr>
        <w:t xml:space="preserve"> RIV</w:t>
      </w:r>
      <w:r>
        <w:rPr>
          <w:rFonts w:hint="eastAsia"/>
          <w:bCs/>
          <w:sz w:val="20"/>
        </w:rPr>
        <w:t xml:space="preserve"> like indication can be reused</w:t>
      </w:r>
      <w:r>
        <w:rPr>
          <w:bCs/>
          <w:sz w:val="20"/>
        </w:rPr>
        <w:t xml:space="preserve">). </w:t>
      </w:r>
    </w:p>
    <w:p w:rsidR="00B176DE" w:rsidRDefault="00F73184">
      <w:pPr>
        <w:spacing w:beforeLines="0" w:afterLines="0" w:line="259" w:lineRule="auto"/>
        <w:rPr>
          <w:bCs/>
          <w:sz w:val="20"/>
        </w:rPr>
      </w:pPr>
      <w:r>
        <w:rPr>
          <w:rFonts w:hint="eastAsia"/>
          <w:bCs/>
          <w:sz w:val="20"/>
        </w:rPr>
        <w:t>Considering one cell can be configured more than one carriers, as discussed in our contribut</w:t>
      </w:r>
      <w:r>
        <w:rPr>
          <w:rFonts w:hint="eastAsia"/>
          <w:bCs/>
          <w:sz w:val="20"/>
        </w:rPr>
        <w:t>ion</w:t>
      </w:r>
      <w:r w:rsidR="0049349F">
        <w:rPr>
          <w:rFonts w:hint="eastAsia"/>
          <w:bCs/>
          <w:sz w:val="20"/>
        </w:rPr>
        <w:t xml:space="preserve"> </w:t>
      </w:r>
      <w:r>
        <w:rPr>
          <w:rFonts w:hint="eastAsia"/>
          <w:bCs/>
          <w:sz w:val="20"/>
        </w:rPr>
        <w:t xml:space="preserve">[2], it is necessary to determine the </w:t>
      </w:r>
      <w:r>
        <w:rPr>
          <w:bCs/>
          <w:sz w:val="20"/>
        </w:rPr>
        <w:t>reference carrier</w:t>
      </w:r>
      <w:r>
        <w:rPr>
          <w:rFonts w:hint="eastAsia"/>
          <w:bCs/>
          <w:sz w:val="20"/>
        </w:rPr>
        <w:t>/SCS</w:t>
      </w:r>
      <w:r>
        <w:rPr>
          <w:bCs/>
          <w:sz w:val="20"/>
        </w:rPr>
        <w:t xml:space="preserve"> based on which </w:t>
      </w:r>
      <w:r>
        <w:rPr>
          <w:rFonts w:hint="eastAsia"/>
          <w:bCs/>
          <w:sz w:val="20"/>
        </w:rPr>
        <w:t xml:space="preserve">the </w:t>
      </w:r>
      <w:r>
        <w:rPr>
          <w:bCs/>
          <w:sz w:val="20"/>
        </w:rPr>
        <w:t>RB sets are defined.</w:t>
      </w:r>
    </w:p>
    <w:p w:rsidR="00B176DE" w:rsidRDefault="00F73184">
      <w:pPr>
        <w:pStyle w:val="YJ-Proposal"/>
        <w:spacing w:before="120" w:after="120"/>
        <w:rPr>
          <w:lang w:val="en-US" w:eastAsia="zh-CN"/>
        </w:rPr>
      </w:pPr>
      <w:bookmarkStart w:id="8" w:name="_Toc8469"/>
      <w:bookmarkStart w:id="9" w:name="_Toc384"/>
      <w:bookmarkStart w:id="10" w:name="_Toc68678816"/>
      <w:bookmarkStart w:id="11" w:name="_Toc9005"/>
      <w:bookmarkStart w:id="12" w:name="_Toc2238"/>
      <w:bookmarkStart w:id="13" w:name="_Toc19196"/>
      <w:bookmarkStart w:id="14" w:name="_Toc8824"/>
      <w:bookmarkStart w:id="15" w:name="_Toc11038"/>
      <w:bookmarkStart w:id="16" w:name="_Toc26788"/>
      <w:bookmarkStart w:id="17" w:name="_Toc55"/>
      <w:bookmarkStart w:id="18" w:name="_Toc25276"/>
      <w:bookmarkStart w:id="19" w:name="_Toc8842"/>
      <w:bookmarkStart w:id="20" w:name="_Toc4076"/>
      <w:bookmarkStart w:id="21" w:name="_Toc79164572"/>
      <w:r>
        <w:rPr>
          <w:rFonts w:cs="Times" w:hint="eastAsia"/>
          <w:lang w:val="en-US" w:eastAsia="zh-CN"/>
        </w:rPr>
        <w:t>F</w:t>
      </w:r>
      <w:r w:rsidR="001E26F0">
        <w:rPr>
          <w:rFonts w:cs="Times" w:hint="eastAsia"/>
          <w:lang w:eastAsia="zh-CN"/>
        </w:rPr>
        <w:t>requency</w:t>
      </w:r>
      <w:r>
        <w:rPr>
          <w:rFonts w:cs="Times"/>
        </w:rPr>
        <w:t>-domain H/S/NA</w:t>
      </w:r>
      <w:r>
        <w:t xml:space="preserve"> </w:t>
      </w:r>
      <w:r>
        <w:rPr>
          <w:rFonts w:hint="eastAsia"/>
          <w:lang w:val="en-US" w:eastAsia="zh-CN"/>
        </w:rPr>
        <w:t>should</w:t>
      </w:r>
      <w:r>
        <w:t xml:space="preserve"> be configured per RB set</w:t>
      </w:r>
      <w:r>
        <w:rPr>
          <w:rFonts w:hint="eastAsia"/>
          <w:lang w:val="en-US" w:eastAsia="zh-CN"/>
        </w:rPr>
        <w:t xml:space="preserve"> within a carrier.</w:t>
      </w:r>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176DE" w:rsidRDefault="00F73184">
      <w:pPr>
        <w:pStyle w:val="YJ-Proposal"/>
        <w:numPr>
          <w:ilvl w:val="1"/>
          <w:numId w:val="3"/>
        </w:numPr>
        <w:spacing w:before="120" w:after="120"/>
        <w:rPr>
          <w:lang w:val="en-US" w:eastAsia="zh-CN"/>
        </w:rPr>
      </w:pPr>
      <w:bookmarkStart w:id="22" w:name="_Toc79164573"/>
      <w:r>
        <w:rPr>
          <w:rFonts w:hint="eastAsia"/>
          <w:lang w:val="en-US" w:eastAsia="zh-CN"/>
        </w:rPr>
        <w:t>One RB set is configured as a multiple of N RBs.</w:t>
      </w:r>
      <w:bookmarkEnd w:id="22"/>
    </w:p>
    <w:p w:rsidR="00B176DE" w:rsidRDefault="00F73184">
      <w:pPr>
        <w:pStyle w:val="YJ-Proposal"/>
        <w:numPr>
          <w:ilvl w:val="1"/>
          <w:numId w:val="3"/>
        </w:numPr>
        <w:spacing w:before="120" w:after="120"/>
        <w:rPr>
          <w:lang w:val="en-US" w:eastAsia="zh-CN"/>
        </w:rPr>
      </w:pPr>
      <w:bookmarkStart w:id="23" w:name="_Toc79164574"/>
      <w:r>
        <w:rPr>
          <w:rFonts w:hint="eastAsia"/>
          <w:lang w:val="en-US" w:eastAsia="zh-CN"/>
        </w:rPr>
        <w:t xml:space="preserve">Each RB set is defined based </w:t>
      </w:r>
      <w:r>
        <w:rPr>
          <w:rFonts w:hint="eastAsia"/>
          <w:lang w:val="en-US" w:eastAsia="zh-CN"/>
        </w:rPr>
        <w:t>on a reference carrier/SCS, FFS how to determine the reference carrier/SCS of a DU cell.</w:t>
      </w:r>
      <w:bookmarkEnd w:id="23"/>
    </w:p>
    <w:p w:rsidR="00B176DE" w:rsidRDefault="00F73184">
      <w:pPr>
        <w:spacing w:beforeLines="0" w:afterLines="0" w:line="259" w:lineRule="auto"/>
        <w:rPr>
          <w:sz w:val="20"/>
        </w:rPr>
      </w:pPr>
      <w:r>
        <w:rPr>
          <w:rFonts w:hint="eastAsia"/>
          <w:bCs/>
          <w:sz w:val="20"/>
        </w:rPr>
        <w:t>Related to the details of Rel-16 H/S/NA configuration</w:t>
      </w:r>
      <w:r>
        <w:rPr>
          <w:rFonts w:cs="Times" w:hint="eastAsia"/>
          <w:bCs/>
          <w:sz w:val="20"/>
        </w:rPr>
        <w:t xml:space="preserve"> and </w:t>
      </w:r>
      <w:r>
        <w:rPr>
          <w:rFonts w:cs="Times"/>
          <w:bCs/>
          <w:sz w:val="20"/>
        </w:rPr>
        <w:t>frequency-domain H/S/NA configuration</w:t>
      </w:r>
      <w:r>
        <w:rPr>
          <w:rFonts w:cs="Times" w:hint="eastAsia"/>
          <w:bCs/>
          <w:sz w:val="20"/>
        </w:rPr>
        <w:t xml:space="preserve">, and how to apply them </w:t>
      </w:r>
      <w:r>
        <w:rPr>
          <w:rFonts w:hint="eastAsia"/>
          <w:bCs/>
          <w:sz w:val="20"/>
        </w:rPr>
        <w:t>to IAB node DU resources</w:t>
      </w:r>
      <w:r>
        <w:rPr>
          <w:rFonts w:hint="eastAsia"/>
          <w:bCs/>
          <w:sz w:val="20"/>
        </w:rPr>
        <w:t>, there are tw</w:t>
      </w:r>
      <w:r>
        <w:rPr>
          <w:bCs/>
          <w:sz w:val="20"/>
        </w:rPr>
        <w:t xml:space="preserve">o options </w:t>
      </w:r>
      <w:r>
        <w:rPr>
          <w:rFonts w:hint="eastAsia"/>
          <w:bCs/>
          <w:sz w:val="20"/>
        </w:rPr>
        <w:t>as shown in Figure 1</w:t>
      </w:r>
      <w:r>
        <w:rPr>
          <w:bCs/>
          <w:sz w:val="20"/>
        </w:rPr>
        <w:t>:</w:t>
      </w:r>
    </w:p>
    <w:p w:rsidR="00B176DE" w:rsidRDefault="00F73184">
      <w:pPr>
        <w:numPr>
          <w:ilvl w:val="0"/>
          <w:numId w:val="9"/>
        </w:numPr>
        <w:spacing w:beforeLines="0" w:afterLines="0" w:line="259" w:lineRule="auto"/>
        <w:rPr>
          <w:sz w:val="20"/>
        </w:rPr>
      </w:pPr>
      <w:r>
        <w:rPr>
          <w:sz w:val="20"/>
        </w:rPr>
        <w:t xml:space="preserve">Option 1 : For a given </w:t>
      </w:r>
      <w:r>
        <w:rPr>
          <w:rFonts w:hint="eastAsia"/>
          <w:sz w:val="20"/>
        </w:rPr>
        <w:t xml:space="preserve">resource (e.g. </w:t>
      </w:r>
      <w:r>
        <w:rPr>
          <w:sz w:val="20"/>
        </w:rPr>
        <w:t>symbol/slot</w:t>
      </w:r>
      <w:r>
        <w:rPr>
          <w:rFonts w:hint="eastAsia"/>
          <w:sz w:val="20"/>
        </w:rPr>
        <w:t>)</w:t>
      </w:r>
      <w:r>
        <w:rPr>
          <w:sz w:val="20"/>
        </w:rPr>
        <w:t xml:space="preserve"> of a IAB</w:t>
      </w:r>
      <w:r>
        <w:rPr>
          <w:rFonts w:hint="eastAsia"/>
          <w:sz w:val="20"/>
        </w:rPr>
        <w:t xml:space="preserve"> node</w:t>
      </w:r>
      <w:r>
        <w:rPr>
          <w:sz w:val="20"/>
        </w:rPr>
        <w:t xml:space="preserve"> DU cell, IAB node is </w:t>
      </w:r>
      <w:r>
        <w:rPr>
          <w:rFonts w:hint="eastAsia"/>
          <w:sz w:val="20"/>
        </w:rPr>
        <w:t xml:space="preserve">configured </w:t>
      </w:r>
      <w:r>
        <w:rPr>
          <w:sz w:val="20"/>
        </w:rPr>
        <w:t xml:space="preserve">with either </w:t>
      </w:r>
      <w:r>
        <w:rPr>
          <w:rFonts w:hint="eastAsia"/>
          <w:bCs/>
          <w:sz w:val="20"/>
        </w:rPr>
        <w:t xml:space="preserve">Rel-16 H/S/NA </w:t>
      </w:r>
      <w:r>
        <w:rPr>
          <w:rFonts w:hint="eastAsia"/>
          <w:bCs/>
          <w:sz w:val="20"/>
        </w:rPr>
        <w:t xml:space="preserve">(i.e., </w:t>
      </w:r>
      <w:r>
        <w:rPr>
          <w:rFonts w:hint="eastAsia"/>
          <w:sz w:val="20"/>
        </w:rPr>
        <w:t>Type 1 configuration</w:t>
      </w:r>
      <w:r>
        <w:rPr>
          <w:rFonts w:hint="eastAsia"/>
          <w:bCs/>
          <w:sz w:val="20"/>
        </w:rPr>
        <w:t>)</w:t>
      </w:r>
      <w:r>
        <w:rPr>
          <w:rFonts w:hint="eastAsia"/>
          <w:bCs/>
          <w:sz w:val="20"/>
        </w:rPr>
        <w:t xml:space="preserve"> </w:t>
      </w:r>
      <w:r>
        <w:rPr>
          <w:rFonts w:hint="eastAsia"/>
          <w:bCs/>
          <w:sz w:val="20"/>
        </w:rPr>
        <w:t>or</w:t>
      </w:r>
      <w:r>
        <w:rPr>
          <w:rFonts w:hint="eastAsia"/>
          <w:bCs/>
          <w:sz w:val="20"/>
        </w:rPr>
        <w:t xml:space="preserve"> </w:t>
      </w:r>
      <w:r>
        <w:rPr>
          <w:rFonts w:cs="Times"/>
          <w:bCs/>
          <w:sz w:val="20"/>
        </w:rPr>
        <w:t>frequency-domain H/S/NA</w:t>
      </w:r>
      <w:r>
        <w:rPr>
          <w:rFonts w:hint="eastAsia"/>
          <w:sz w:val="20"/>
        </w:rPr>
        <w:t xml:space="preserve"> (i.e., Type 2 configuration).</w:t>
      </w:r>
      <w:r>
        <w:rPr>
          <w:rFonts w:hint="eastAsia"/>
          <w:bCs/>
          <w:sz w:val="20"/>
        </w:rPr>
        <w:t xml:space="preserve"> </w:t>
      </w:r>
      <w:r>
        <w:rPr>
          <w:sz w:val="20"/>
        </w:rPr>
        <w:t>I.e.</w:t>
      </w:r>
      <w:r>
        <w:rPr>
          <w:rFonts w:hint="eastAsia"/>
          <w:sz w:val="20"/>
        </w:rPr>
        <w:t>,</w:t>
      </w:r>
      <w:r>
        <w:rPr>
          <w:sz w:val="20"/>
        </w:rPr>
        <w:t xml:space="preserve"> one </w:t>
      </w:r>
      <w:r>
        <w:rPr>
          <w:rFonts w:hint="eastAsia"/>
          <w:sz w:val="20"/>
        </w:rPr>
        <w:t xml:space="preserve">resource </w:t>
      </w:r>
      <w:r>
        <w:rPr>
          <w:sz w:val="20"/>
        </w:rPr>
        <w:t>corres</w:t>
      </w:r>
      <w:r>
        <w:rPr>
          <w:sz w:val="20"/>
        </w:rPr>
        <w:t xml:space="preserve">ponds to </w:t>
      </w:r>
      <w:r>
        <w:rPr>
          <w:rFonts w:hint="eastAsia"/>
          <w:sz w:val="20"/>
        </w:rPr>
        <w:t xml:space="preserve">one type of </w:t>
      </w:r>
      <w:r>
        <w:rPr>
          <w:sz w:val="20"/>
        </w:rPr>
        <w:t>H/S/NA configurations</w:t>
      </w:r>
      <w:r>
        <w:rPr>
          <w:rFonts w:hint="eastAsia"/>
          <w:sz w:val="20"/>
        </w:rPr>
        <w:t>. F</w:t>
      </w:r>
      <w:r>
        <w:rPr>
          <w:rFonts w:cs="Times"/>
          <w:bCs/>
          <w:sz w:val="20"/>
        </w:rPr>
        <w:t>requency-domain H/S/NA</w:t>
      </w:r>
      <w:r>
        <w:rPr>
          <w:bCs/>
          <w:sz w:val="20"/>
        </w:rPr>
        <w:t xml:space="preserve"> can be configured</w:t>
      </w:r>
      <w:r>
        <w:rPr>
          <w:rFonts w:hint="eastAsia"/>
          <w:bCs/>
          <w:sz w:val="20"/>
        </w:rPr>
        <w:t xml:space="preserve"> per slot or per resource type per slot in time domain</w:t>
      </w:r>
      <w:r>
        <w:rPr>
          <w:rFonts w:hint="eastAsia"/>
          <w:sz w:val="20"/>
        </w:rPr>
        <w:t>, and an instance of per slot per resource type configuration is shown below:</w:t>
      </w:r>
    </w:p>
    <w:p w:rsidR="00B176DE" w:rsidRDefault="00F73184">
      <w:pPr>
        <w:numPr>
          <w:ilvl w:val="1"/>
          <w:numId w:val="9"/>
        </w:numPr>
        <w:spacing w:beforeLines="0" w:afterLines="0" w:line="259" w:lineRule="auto"/>
        <w:rPr>
          <w:sz w:val="20"/>
        </w:rPr>
      </w:pPr>
      <w:r>
        <w:rPr>
          <w:rFonts w:hint="eastAsia"/>
          <w:sz w:val="20"/>
        </w:rPr>
        <w:t>Type 1 configuration (Rel-16 H/S/NA)</w:t>
      </w:r>
    </w:p>
    <w:p w:rsidR="00B176DE" w:rsidRDefault="00F73184">
      <w:pPr>
        <w:numPr>
          <w:ilvl w:val="2"/>
          <w:numId w:val="9"/>
        </w:numPr>
        <w:tabs>
          <w:tab w:val="clear" w:pos="1260"/>
          <w:tab w:val="left" w:pos="840"/>
        </w:tabs>
        <w:spacing w:beforeLines="0" w:afterLines="0" w:line="259" w:lineRule="auto"/>
        <w:rPr>
          <w:sz w:val="20"/>
        </w:rPr>
      </w:pPr>
      <w:r>
        <w:rPr>
          <w:rFonts w:cs="Arial"/>
          <w:sz w:val="20"/>
          <w:lang w:eastAsia="ja-JP"/>
        </w:rPr>
        <w:t>HS</w:t>
      </w:r>
      <w:r>
        <w:rPr>
          <w:rFonts w:cs="Arial"/>
          <w:sz w:val="20"/>
          <w:lang w:eastAsia="ja-JP"/>
        </w:rPr>
        <w:t>NA D</w:t>
      </w:r>
      <w:r>
        <w:rPr>
          <w:rFonts w:cs="Arial" w:hint="eastAsia"/>
          <w:sz w:val="20"/>
        </w:rPr>
        <w:t>ownlink: ENUMERATED (HARD, SOFT, NOTAVAILABLE)</w:t>
      </w:r>
    </w:p>
    <w:p w:rsidR="00B176DE" w:rsidRDefault="00F73184">
      <w:pPr>
        <w:numPr>
          <w:ilvl w:val="2"/>
          <w:numId w:val="9"/>
        </w:numPr>
        <w:tabs>
          <w:tab w:val="clear" w:pos="1260"/>
          <w:tab w:val="left" w:pos="840"/>
        </w:tabs>
        <w:spacing w:beforeLines="0" w:afterLines="0" w:line="259" w:lineRule="auto"/>
        <w:rPr>
          <w:sz w:val="20"/>
        </w:rPr>
      </w:pPr>
      <w:r>
        <w:rPr>
          <w:rFonts w:cs="Arial"/>
          <w:sz w:val="20"/>
          <w:lang w:eastAsia="ja-JP"/>
        </w:rPr>
        <w:t xml:space="preserve">HSNA </w:t>
      </w:r>
      <w:r>
        <w:rPr>
          <w:rFonts w:cs="Arial" w:hint="eastAsia"/>
          <w:sz w:val="20"/>
        </w:rPr>
        <w:t>Uplink:   ENUMERATED (HARD, SOFT, NOTAVAILABLE)</w:t>
      </w:r>
    </w:p>
    <w:p w:rsidR="00B176DE" w:rsidRDefault="00F73184">
      <w:pPr>
        <w:numPr>
          <w:ilvl w:val="2"/>
          <w:numId w:val="9"/>
        </w:numPr>
        <w:tabs>
          <w:tab w:val="clear" w:pos="1260"/>
          <w:tab w:val="left" w:pos="840"/>
        </w:tabs>
        <w:spacing w:beforeLines="0" w:afterLines="0" w:line="259" w:lineRule="auto"/>
        <w:rPr>
          <w:sz w:val="20"/>
        </w:rPr>
      </w:pPr>
      <w:r>
        <w:rPr>
          <w:rFonts w:cs="Arial"/>
          <w:sz w:val="20"/>
          <w:lang w:eastAsia="ja-JP"/>
        </w:rPr>
        <w:t xml:space="preserve">HSNA </w:t>
      </w:r>
      <w:r>
        <w:rPr>
          <w:rFonts w:cs="Arial" w:hint="eastAsia"/>
          <w:sz w:val="20"/>
        </w:rPr>
        <w:t>Flexible:  ENUMERATED (HARD, SOFT, NOTAVAILABLE)</w:t>
      </w:r>
    </w:p>
    <w:p w:rsidR="00B176DE" w:rsidRDefault="00F73184">
      <w:pPr>
        <w:numPr>
          <w:ilvl w:val="1"/>
          <w:numId w:val="9"/>
        </w:numPr>
        <w:spacing w:beforeLines="0" w:afterLines="0" w:line="259" w:lineRule="auto"/>
        <w:rPr>
          <w:sz w:val="20"/>
        </w:rPr>
      </w:pPr>
      <w:r>
        <w:rPr>
          <w:rFonts w:hint="eastAsia"/>
          <w:sz w:val="20"/>
        </w:rPr>
        <w:t>Type 2 configuration (</w:t>
      </w:r>
      <w:r>
        <w:rPr>
          <w:rFonts w:cs="Arial" w:hint="eastAsia"/>
          <w:sz w:val="20"/>
        </w:rPr>
        <w:t>F</w:t>
      </w:r>
      <w:r>
        <w:rPr>
          <w:rFonts w:cs="Times"/>
          <w:bCs/>
          <w:sz w:val="20"/>
        </w:rPr>
        <w:t>requency-domain H/S/NA</w:t>
      </w:r>
      <w:r>
        <w:rPr>
          <w:rFonts w:cs="Times" w:hint="eastAsia"/>
          <w:bCs/>
          <w:sz w:val="20"/>
        </w:rPr>
        <w:t>)</w:t>
      </w:r>
    </w:p>
    <w:p w:rsidR="00B176DE" w:rsidRDefault="00F73184">
      <w:pPr>
        <w:numPr>
          <w:ilvl w:val="2"/>
          <w:numId w:val="9"/>
        </w:numPr>
        <w:tabs>
          <w:tab w:val="clear" w:pos="1260"/>
          <w:tab w:val="left" w:pos="840"/>
        </w:tabs>
        <w:spacing w:beforeLines="0" w:afterLines="0" w:line="259" w:lineRule="auto"/>
        <w:rPr>
          <w:sz w:val="20"/>
        </w:rPr>
      </w:pPr>
      <w:r>
        <w:rPr>
          <w:rFonts w:cs="Arial" w:hint="eastAsia"/>
          <w:sz w:val="20"/>
        </w:rPr>
        <w:t>F</w:t>
      </w:r>
      <w:r>
        <w:rPr>
          <w:rFonts w:cs="Times"/>
          <w:bCs/>
          <w:sz w:val="20"/>
        </w:rPr>
        <w:t>requency-domain H/S/NA</w:t>
      </w:r>
      <w:r>
        <w:rPr>
          <w:bCs/>
          <w:sz w:val="20"/>
        </w:rPr>
        <w:t xml:space="preserve"> </w:t>
      </w:r>
      <w:r>
        <w:rPr>
          <w:rFonts w:hint="eastAsia"/>
          <w:bCs/>
          <w:sz w:val="20"/>
        </w:rPr>
        <w:t>for DL symbols in the slot</w:t>
      </w:r>
    </w:p>
    <w:p w:rsidR="00B176DE" w:rsidRDefault="00F73184">
      <w:pPr>
        <w:numPr>
          <w:ilvl w:val="2"/>
          <w:numId w:val="9"/>
        </w:numPr>
        <w:tabs>
          <w:tab w:val="clear" w:pos="1260"/>
          <w:tab w:val="left" w:pos="840"/>
        </w:tabs>
        <w:spacing w:beforeLines="0" w:afterLines="0" w:line="259" w:lineRule="auto"/>
        <w:rPr>
          <w:sz w:val="20"/>
        </w:rPr>
      </w:pPr>
      <w:r>
        <w:rPr>
          <w:rFonts w:cs="Arial" w:hint="eastAsia"/>
          <w:sz w:val="20"/>
        </w:rPr>
        <w:t>F</w:t>
      </w:r>
      <w:r>
        <w:rPr>
          <w:rFonts w:cs="Times"/>
          <w:bCs/>
          <w:sz w:val="20"/>
        </w:rPr>
        <w:t>requency-domain H/S/NA</w:t>
      </w:r>
      <w:r>
        <w:rPr>
          <w:bCs/>
          <w:sz w:val="20"/>
        </w:rPr>
        <w:t xml:space="preserve"> </w:t>
      </w:r>
      <w:r>
        <w:rPr>
          <w:rFonts w:hint="eastAsia"/>
          <w:bCs/>
          <w:sz w:val="20"/>
        </w:rPr>
        <w:t>for UL symbols in the slot</w:t>
      </w:r>
    </w:p>
    <w:p w:rsidR="00B176DE" w:rsidRDefault="00F73184">
      <w:pPr>
        <w:numPr>
          <w:ilvl w:val="2"/>
          <w:numId w:val="9"/>
        </w:numPr>
        <w:tabs>
          <w:tab w:val="clear" w:pos="1260"/>
          <w:tab w:val="left" w:pos="840"/>
        </w:tabs>
        <w:spacing w:beforeLines="0" w:afterLines="0" w:line="259" w:lineRule="auto"/>
        <w:rPr>
          <w:sz w:val="20"/>
        </w:rPr>
      </w:pPr>
      <w:r>
        <w:rPr>
          <w:rFonts w:cs="Arial" w:hint="eastAsia"/>
          <w:sz w:val="20"/>
        </w:rPr>
        <w:t>F</w:t>
      </w:r>
      <w:r>
        <w:rPr>
          <w:rFonts w:cs="Times"/>
          <w:bCs/>
          <w:sz w:val="20"/>
        </w:rPr>
        <w:t>requency-domain H/S/NA</w:t>
      </w:r>
      <w:r>
        <w:rPr>
          <w:bCs/>
          <w:sz w:val="20"/>
        </w:rPr>
        <w:t xml:space="preserve"> </w:t>
      </w:r>
      <w:r>
        <w:rPr>
          <w:rFonts w:hint="eastAsia"/>
          <w:bCs/>
          <w:sz w:val="20"/>
        </w:rPr>
        <w:t>for Flexible symbols in the slot</w:t>
      </w:r>
    </w:p>
    <w:p w:rsidR="00B176DE" w:rsidRDefault="00F73184">
      <w:pPr>
        <w:numPr>
          <w:ilvl w:val="0"/>
          <w:numId w:val="9"/>
        </w:numPr>
        <w:spacing w:beforeLines="0" w:afterLines="0" w:line="259" w:lineRule="auto"/>
        <w:rPr>
          <w:sz w:val="20"/>
        </w:rPr>
      </w:pPr>
      <w:r>
        <w:rPr>
          <w:sz w:val="20"/>
        </w:rPr>
        <w:t xml:space="preserve">Option </w:t>
      </w:r>
      <w:r>
        <w:rPr>
          <w:rFonts w:hint="eastAsia"/>
          <w:sz w:val="20"/>
        </w:rPr>
        <w:t>2</w:t>
      </w:r>
      <w:r>
        <w:rPr>
          <w:sz w:val="20"/>
        </w:rPr>
        <w:t xml:space="preserve">: For a given </w:t>
      </w:r>
      <w:r>
        <w:rPr>
          <w:rFonts w:hint="eastAsia"/>
          <w:sz w:val="20"/>
        </w:rPr>
        <w:t>resource</w:t>
      </w:r>
      <w:r>
        <w:rPr>
          <w:sz w:val="20"/>
        </w:rPr>
        <w:t xml:space="preserve"> </w:t>
      </w:r>
      <w:r>
        <w:rPr>
          <w:rFonts w:hint="eastAsia"/>
          <w:sz w:val="20"/>
        </w:rPr>
        <w:t xml:space="preserve">(e.g. </w:t>
      </w:r>
      <w:r>
        <w:rPr>
          <w:sz w:val="20"/>
        </w:rPr>
        <w:t>symbol/slot</w:t>
      </w:r>
      <w:r>
        <w:rPr>
          <w:rFonts w:hint="eastAsia"/>
          <w:sz w:val="20"/>
        </w:rPr>
        <w:t>)</w:t>
      </w:r>
      <w:r>
        <w:rPr>
          <w:sz w:val="20"/>
        </w:rPr>
        <w:t xml:space="preserve"> of an IAB DU cell, IAB node can be </w:t>
      </w:r>
      <w:r>
        <w:rPr>
          <w:rFonts w:hint="eastAsia"/>
          <w:sz w:val="20"/>
        </w:rPr>
        <w:t xml:space="preserve">configured </w:t>
      </w:r>
      <w:r>
        <w:rPr>
          <w:sz w:val="20"/>
        </w:rPr>
        <w:t xml:space="preserve">with both </w:t>
      </w:r>
      <w:r>
        <w:rPr>
          <w:rFonts w:hint="eastAsia"/>
          <w:bCs/>
          <w:sz w:val="20"/>
        </w:rPr>
        <w:t xml:space="preserve">Rel-16 H/S/NA </w:t>
      </w:r>
      <w:r>
        <w:rPr>
          <w:rFonts w:hint="eastAsia"/>
          <w:bCs/>
          <w:sz w:val="20"/>
        </w:rPr>
        <w:t xml:space="preserve">(i.e. </w:t>
      </w:r>
      <w:r>
        <w:rPr>
          <w:rFonts w:hint="eastAsia"/>
          <w:sz w:val="20"/>
        </w:rPr>
        <w:t>Type 1 configuration</w:t>
      </w:r>
      <w:r>
        <w:rPr>
          <w:rFonts w:hint="eastAsia"/>
          <w:bCs/>
          <w:sz w:val="20"/>
        </w:rPr>
        <w:t xml:space="preserve">) </w:t>
      </w:r>
      <w:r>
        <w:rPr>
          <w:rFonts w:hint="eastAsia"/>
          <w:bCs/>
          <w:sz w:val="20"/>
        </w:rPr>
        <w:t>and</w:t>
      </w:r>
      <w:r>
        <w:rPr>
          <w:rFonts w:hint="eastAsia"/>
          <w:bCs/>
          <w:sz w:val="20"/>
        </w:rPr>
        <w:t xml:space="preserve"> </w:t>
      </w:r>
      <w:r>
        <w:rPr>
          <w:rFonts w:cs="Times"/>
          <w:bCs/>
          <w:sz w:val="20"/>
        </w:rPr>
        <w:t>frequency-domain H/S/NA</w:t>
      </w:r>
      <w:r>
        <w:rPr>
          <w:rFonts w:hint="eastAsia"/>
          <w:bCs/>
          <w:sz w:val="20"/>
        </w:rPr>
        <w:t xml:space="preserve"> (i.e. </w:t>
      </w:r>
      <w:r>
        <w:rPr>
          <w:rFonts w:hint="eastAsia"/>
          <w:sz w:val="20"/>
        </w:rPr>
        <w:t>Type 2 configuration</w:t>
      </w:r>
      <w:r>
        <w:rPr>
          <w:rFonts w:hint="eastAsia"/>
          <w:bCs/>
          <w:sz w:val="20"/>
        </w:rPr>
        <w:t>)</w:t>
      </w:r>
      <w:r>
        <w:rPr>
          <w:sz w:val="20"/>
        </w:rPr>
        <w:t>. I.e.</w:t>
      </w:r>
      <w:r>
        <w:rPr>
          <w:rFonts w:hint="eastAsia"/>
          <w:sz w:val="20"/>
        </w:rPr>
        <w:t>,</w:t>
      </w:r>
      <w:r>
        <w:rPr>
          <w:sz w:val="20"/>
        </w:rPr>
        <w:t xml:space="preserve"> one </w:t>
      </w:r>
      <w:r>
        <w:rPr>
          <w:rFonts w:hint="eastAsia"/>
          <w:sz w:val="20"/>
        </w:rPr>
        <w:t>resource</w:t>
      </w:r>
      <w:r>
        <w:rPr>
          <w:sz w:val="20"/>
        </w:rPr>
        <w:t xml:space="preserve"> corresponds to two</w:t>
      </w:r>
      <w:r>
        <w:rPr>
          <w:rFonts w:hint="eastAsia"/>
          <w:sz w:val="20"/>
        </w:rPr>
        <w:t xml:space="preserve"> types of</w:t>
      </w:r>
      <w:r>
        <w:rPr>
          <w:sz w:val="20"/>
        </w:rPr>
        <w:t xml:space="preserve"> H/S/NA configurations</w:t>
      </w:r>
      <w:r>
        <w:rPr>
          <w:rFonts w:hint="eastAsia"/>
          <w:sz w:val="20"/>
        </w:rPr>
        <w:t>:</w:t>
      </w:r>
    </w:p>
    <w:p w:rsidR="00B176DE" w:rsidRDefault="00F73184">
      <w:pPr>
        <w:numPr>
          <w:ilvl w:val="1"/>
          <w:numId w:val="9"/>
        </w:numPr>
        <w:spacing w:beforeLines="0" w:afterLines="0" w:line="259" w:lineRule="auto"/>
        <w:rPr>
          <w:sz w:val="20"/>
        </w:rPr>
      </w:pPr>
      <w:r>
        <w:rPr>
          <w:rFonts w:hint="eastAsia"/>
          <w:sz w:val="20"/>
        </w:rPr>
        <w:t>Option 2-1: IAB node can dynamically determine which configuration is used</w:t>
      </w:r>
      <w:r>
        <w:rPr>
          <w:sz w:val="20"/>
        </w:rPr>
        <w:t>.</w:t>
      </w:r>
    </w:p>
    <w:p w:rsidR="00B176DE" w:rsidRDefault="00F73184">
      <w:pPr>
        <w:numPr>
          <w:ilvl w:val="1"/>
          <w:numId w:val="9"/>
        </w:numPr>
        <w:spacing w:beforeLines="0" w:afterLines="0" w:line="259" w:lineRule="auto"/>
        <w:rPr>
          <w:sz w:val="20"/>
        </w:rPr>
      </w:pPr>
      <w:r>
        <w:rPr>
          <w:rFonts w:hint="eastAsia"/>
          <w:sz w:val="20"/>
        </w:rPr>
        <w:t xml:space="preserve">Option 2-2: The </w:t>
      </w:r>
      <w:r>
        <w:rPr>
          <w:rFonts w:cs="Arial" w:hint="eastAsia"/>
          <w:sz w:val="20"/>
        </w:rPr>
        <w:t>F</w:t>
      </w:r>
      <w:r>
        <w:rPr>
          <w:rFonts w:cs="Times"/>
          <w:bCs/>
          <w:sz w:val="20"/>
        </w:rPr>
        <w:t>requency-domain H/S/NA</w:t>
      </w:r>
      <w:r>
        <w:rPr>
          <w:bCs/>
          <w:sz w:val="20"/>
        </w:rPr>
        <w:t xml:space="preserve"> </w:t>
      </w:r>
      <w:r>
        <w:rPr>
          <w:rFonts w:hint="eastAsia"/>
          <w:bCs/>
          <w:sz w:val="20"/>
        </w:rPr>
        <w:t xml:space="preserve">would override the </w:t>
      </w:r>
      <w:r>
        <w:rPr>
          <w:rFonts w:hint="eastAsia"/>
          <w:sz w:val="20"/>
        </w:rPr>
        <w:t xml:space="preserve">Rel-16 H/S/NA, i.e., </w:t>
      </w:r>
      <w:r>
        <w:rPr>
          <w:rFonts w:cs="Arial" w:hint="eastAsia"/>
          <w:sz w:val="20"/>
        </w:rPr>
        <w:t>F</w:t>
      </w:r>
      <w:r>
        <w:rPr>
          <w:rFonts w:cs="Times"/>
          <w:bCs/>
          <w:sz w:val="20"/>
        </w:rPr>
        <w:t>requency-domain H/S/NA</w:t>
      </w:r>
      <w:r>
        <w:rPr>
          <w:rFonts w:cs="Times" w:hint="eastAsia"/>
          <w:bCs/>
          <w:sz w:val="20"/>
        </w:rPr>
        <w:t xml:space="preserve"> configuration would be applied in the resource.</w:t>
      </w:r>
    </w:p>
    <w:p w:rsidR="00B176DE" w:rsidRDefault="00B176DE">
      <w:pPr>
        <w:spacing w:beforeLines="0" w:afterLines="0" w:line="259" w:lineRule="auto"/>
        <w:jc w:val="center"/>
        <w:rPr>
          <w:b/>
          <w:bCs/>
          <w:sz w:val="20"/>
        </w:rPr>
      </w:pPr>
    </w:p>
    <w:p w:rsidR="00B176DE" w:rsidRDefault="00F73184">
      <w:pPr>
        <w:spacing w:beforeLines="0" w:afterLines="0" w:line="259" w:lineRule="auto"/>
        <w:jc w:val="center"/>
        <w:rPr>
          <w:b/>
          <w:bCs/>
          <w:sz w:val="20"/>
        </w:rPr>
      </w:pPr>
      <w:r>
        <w:rPr>
          <w:rFonts w:ascii="sans-serif" w:eastAsia="sans-serif" w:hAnsi="sans-serif" w:cs="sans-serif"/>
          <w:noProof/>
          <w:color w:val="000000"/>
          <w:sz w:val="18"/>
          <w:szCs w:val="18"/>
        </w:rPr>
        <w:drawing>
          <wp:inline distT="0" distB="0" distL="114300" distR="114300" wp14:anchorId="569A300A" wp14:editId="7431C3A0">
            <wp:extent cx="5351145" cy="1637030"/>
            <wp:effectExtent l="0" t="0" r="1905" b="127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5351145" cy="1637030"/>
                    </a:xfrm>
                    <a:prstGeom prst="rect">
                      <a:avLst/>
                    </a:prstGeom>
                    <a:noFill/>
                    <a:ln w="9525">
                      <a:noFill/>
                    </a:ln>
                  </pic:spPr>
                </pic:pic>
              </a:graphicData>
            </a:graphic>
          </wp:inline>
        </w:drawing>
      </w:r>
    </w:p>
    <w:p w:rsidR="00B176DE" w:rsidRDefault="00F73184">
      <w:pPr>
        <w:spacing w:beforeLines="0" w:afterLines="0" w:line="259" w:lineRule="auto"/>
        <w:jc w:val="center"/>
        <w:rPr>
          <w:b/>
          <w:bCs/>
          <w:sz w:val="20"/>
        </w:rPr>
      </w:pPr>
      <w:r>
        <w:rPr>
          <w:rFonts w:hint="eastAsia"/>
          <w:b/>
          <w:bCs/>
          <w:sz w:val="20"/>
        </w:rPr>
        <w:t>Figure 1: Example of semi-static DU resource configurations</w:t>
      </w:r>
    </w:p>
    <w:p w:rsidR="00B176DE" w:rsidRDefault="00B176DE">
      <w:pPr>
        <w:spacing w:beforeLines="0" w:afterLines="0" w:line="259" w:lineRule="auto"/>
        <w:rPr>
          <w:sz w:val="20"/>
        </w:rPr>
      </w:pPr>
    </w:p>
    <w:p w:rsidR="00B176DE" w:rsidRDefault="00F73184">
      <w:pPr>
        <w:spacing w:beforeLines="0" w:afterLines="0" w:line="259" w:lineRule="auto"/>
        <w:rPr>
          <w:sz w:val="20"/>
        </w:rPr>
      </w:pPr>
      <w:r>
        <w:rPr>
          <w:rFonts w:hint="eastAsia"/>
          <w:sz w:val="20"/>
        </w:rPr>
        <w:t>For f</w:t>
      </w:r>
      <w:r>
        <w:rPr>
          <w:rFonts w:cs="Times"/>
          <w:bCs/>
          <w:sz w:val="20"/>
        </w:rPr>
        <w:t>requency-domain H/S/NA</w:t>
      </w:r>
      <w:r>
        <w:rPr>
          <w:rFonts w:cs="Times" w:hint="eastAsia"/>
          <w:bCs/>
          <w:sz w:val="20"/>
        </w:rPr>
        <w:t xml:space="preserve"> configuration</w:t>
      </w:r>
      <w:r>
        <w:rPr>
          <w:rFonts w:hint="eastAsia"/>
          <w:sz w:val="20"/>
        </w:rPr>
        <w:t xml:space="preserve">, one or more </w:t>
      </w:r>
      <w:r>
        <w:rPr>
          <w:rFonts w:cs="Arial" w:hint="eastAsia"/>
          <w:sz w:val="20"/>
        </w:rPr>
        <w:t xml:space="preserve">availability patterns in </w:t>
      </w:r>
      <w:r>
        <w:rPr>
          <w:rFonts w:cs="Arial" w:hint="eastAsia"/>
          <w:sz w:val="20"/>
        </w:rPr>
        <w:t>frequency domain can be configured, e.g. two RB sets are configured within one carrier, availability patterns in frequency domain can be pattern1 = {NA, H}, pattern 2={S, H},...etc.</w:t>
      </w:r>
    </w:p>
    <w:p w:rsidR="00B176DE" w:rsidRDefault="00F73184">
      <w:pPr>
        <w:spacing w:beforeLines="0" w:afterLines="0" w:line="259" w:lineRule="auto"/>
        <w:rPr>
          <w:sz w:val="20"/>
        </w:rPr>
      </w:pPr>
      <w:r>
        <w:rPr>
          <w:sz w:val="20"/>
        </w:rPr>
        <w:t>For option 1</w:t>
      </w:r>
      <w:r>
        <w:rPr>
          <w:rFonts w:hint="eastAsia"/>
          <w:sz w:val="20"/>
        </w:rPr>
        <w:t xml:space="preserve"> and option 2-2</w:t>
      </w:r>
      <w:r>
        <w:rPr>
          <w:sz w:val="20"/>
        </w:rPr>
        <w:t xml:space="preserve">, one </w:t>
      </w:r>
      <w:r>
        <w:rPr>
          <w:rFonts w:hint="eastAsia"/>
          <w:sz w:val="20"/>
        </w:rPr>
        <w:t>resource</w:t>
      </w:r>
      <w:r>
        <w:rPr>
          <w:sz w:val="20"/>
        </w:rPr>
        <w:t xml:space="preserve"> corresponds to </w:t>
      </w:r>
      <w:r>
        <w:rPr>
          <w:rFonts w:hint="eastAsia"/>
          <w:sz w:val="20"/>
        </w:rPr>
        <w:t xml:space="preserve">only one type of </w:t>
      </w:r>
      <w:r>
        <w:rPr>
          <w:sz w:val="20"/>
        </w:rPr>
        <w:t>H/S/NA configuration</w:t>
      </w:r>
      <w:r>
        <w:rPr>
          <w:rFonts w:hint="eastAsia"/>
          <w:sz w:val="20"/>
        </w:rPr>
        <w:t xml:space="preserve">, i.e., either </w:t>
      </w:r>
      <w:r>
        <w:rPr>
          <w:rFonts w:hint="eastAsia"/>
          <w:sz w:val="20"/>
        </w:rPr>
        <w:t>Type 1 configuration or Type 2 configuration.</w:t>
      </w:r>
      <w:r>
        <w:rPr>
          <w:sz w:val="20"/>
        </w:rPr>
        <w:t xml:space="preserve"> </w:t>
      </w:r>
      <w:r>
        <w:rPr>
          <w:rFonts w:hint="eastAsia"/>
          <w:sz w:val="20"/>
        </w:rPr>
        <w:t>T</w:t>
      </w:r>
      <w:r>
        <w:rPr>
          <w:sz w:val="20"/>
        </w:rPr>
        <w:t>herefore, IAB node and its parent node as well as the CU can have a consistent understanding on the used IAB-DU resource configurations</w:t>
      </w:r>
      <w:r>
        <w:rPr>
          <w:rFonts w:hint="eastAsia"/>
          <w:sz w:val="20"/>
        </w:rPr>
        <w:t>, and option 1 has less signalling over</w:t>
      </w:r>
      <w:r>
        <w:rPr>
          <w:rFonts w:hint="eastAsia"/>
          <w:sz w:val="20"/>
        </w:rPr>
        <w:t>head and spec changes, and it is slightly preferred</w:t>
      </w:r>
    </w:p>
    <w:p w:rsidR="00B176DE" w:rsidRDefault="00F73184">
      <w:pPr>
        <w:spacing w:beforeLines="0" w:afterLines="0" w:line="259" w:lineRule="auto"/>
        <w:rPr>
          <w:sz w:val="20"/>
        </w:rPr>
      </w:pPr>
      <w:r>
        <w:rPr>
          <w:sz w:val="20"/>
        </w:rPr>
        <w:t>For option 2</w:t>
      </w:r>
      <w:r>
        <w:rPr>
          <w:rFonts w:hint="eastAsia"/>
          <w:sz w:val="20"/>
        </w:rPr>
        <w:t>-1</w:t>
      </w:r>
      <w:r>
        <w:rPr>
          <w:sz w:val="20"/>
        </w:rPr>
        <w:t xml:space="preserve">, IAB node </w:t>
      </w:r>
      <w:r>
        <w:rPr>
          <w:rFonts w:hint="eastAsia"/>
          <w:sz w:val="20"/>
        </w:rPr>
        <w:t>may</w:t>
      </w:r>
      <w:r>
        <w:rPr>
          <w:sz w:val="20"/>
        </w:rPr>
        <w:t xml:space="preserve"> determine to use one of the </w:t>
      </w:r>
      <w:r>
        <w:rPr>
          <w:rFonts w:hint="eastAsia"/>
          <w:sz w:val="20"/>
        </w:rPr>
        <w:t xml:space="preserve">two </w:t>
      </w:r>
      <w:r>
        <w:rPr>
          <w:sz w:val="20"/>
        </w:rPr>
        <w:t xml:space="preserve">configurations dynamically, in this case, it may </w:t>
      </w:r>
      <w:r>
        <w:rPr>
          <w:rFonts w:hint="eastAsia"/>
          <w:sz w:val="20"/>
        </w:rPr>
        <w:t xml:space="preserve">aggravate interference and resource collision, and may </w:t>
      </w:r>
      <w:r>
        <w:rPr>
          <w:sz w:val="20"/>
        </w:rPr>
        <w:t>cause different understanding on the us</w:t>
      </w:r>
      <w:r>
        <w:rPr>
          <w:sz w:val="20"/>
        </w:rPr>
        <w:t>ed IAB-DU resource configurations among IAB node, its parent node and CU.</w:t>
      </w:r>
      <w:r>
        <w:rPr>
          <w:rFonts w:hint="eastAsia"/>
          <w:sz w:val="20"/>
        </w:rPr>
        <w:t xml:space="preserve"> For example, as shown in Figure 1, RB set 2 in slot 1 is configured as NA</w:t>
      </w:r>
      <w:r>
        <w:rPr>
          <w:sz w:val="20"/>
        </w:rPr>
        <w:t xml:space="preserve"> </w:t>
      </w:r>
      <w:r>
        <w:rPr>
          <w:rFonts w:hint="eastAsia"/>
          <w:sz w:val="20"/>
        </w:rPr>
        <w:t xml:space="preserve">in </w:t>
      </w:r>
      <w:r>
        <w:rPr>
          <w:rFonts w:eastAsia="Times New Roman" w:cs="Times"/>
          <w:bCs/>
          <w:color w:val="000000"/>
          <w:sz w:val="20"/>
        </w:rPr>
        <w:t xml:space="preserve"> Rel-16 H/S/NA configuration</w:t>
      </w:r>
      <w:r>
        <w:rPr>
          <w:rFonts w:hint="eastAsia"/>
          <w:sz w:val="20"/>
        </w:rPr>
        <w:t xml:space="preserve"> and is configured as H in</w:t>
      </w:r>
      <w:r>
        <w:rPr>
          <w:sz w:val="20"/>
        </w:rPr>
        <w:t xml:space="preserve"> frequency-domain H/S/NA configuration</w:t>
      </w:r>
      <w:r>
        <w:rPr>
          <w:rFonts w:hint="eastAsia"/>
          <w:sz w:val="20"/>
        </w:rPr>
        <w:t xml:space="preserve">, CU or even </w:t>
      </w:r>
      <w:r>
        <w:rPr>
          <w:rFonts w:hint="eastAsia"/>
          <w:sz w:val="20"/>
        </w:rPr>
        <w:t>parent node cannot dynamically know which H/S/NA configuration is selected by IAB-DU. Then, CU or even parent node also cannot know whether the IAB-DU can use RB set 2 in slot 1. In other words, the CU or even parent node loses the control of whether IAB-D</w:t>
      </w:r>
      <w:r>
        <w:rPr>
          <w:rFonts w:hint="eastAsia"/>
          <w:sz w:val="20"/>
        </w:rPr>
        <w:t>U uses RB set 2 in slot 1 or not, which will lead to interference deterioration and resource utilization conflict.</w:t>
      </w:r>
    </w:p>
    <w:p w:rsidR="00B176DE" w:rsidRDefault="00F73184">
      <w:pPr>
        <w:pStyle w:val="YJ-Observation"/>
        <w:spacing w:before="120" w:after="120"/>
        <w:jc w:val="both"/>
        <w:rPr>
          <w:lang w:val="en-US" w:eastAsia="zh-CN"/>
        </w:rPr>
      </w:pPr>
      <w:bookmarkStart w:id="24" w:name="_Toc13411"/>
      <w:bookmarkStart w:id="25" w:name="_Toc1323"/>
      <w:bookmarkStart w:id="26" w:name="_Toc20683"/>
      <w:bookmarkStart w:id="27" w:name="_Toc980"/>
      <w:bookmarkStart w:id="28" w:name="_Toc79164566"/>
      <w:r>
        <w:rPr>
          <w:rFonts w:hint="eastAsia"/>
          <w:lang w:val="en-US" w:eastAsia="zh-CN"/>
        </w:rPr>
        <w:t xml:space="preserve">It may aggravate interference and resource collision if a given resource were applied with both Rel-16 H/S/NA and </w:t>
      </w:r>
      <w:r>
        <w:rPr>
          <w:rFonts w:cs="Times"/>
        </w:rPr>
        <w:t>frequency-domain H/S/NA</w:t>
      </w:r>
      <w:r>
        <w:rPr>
          <w:rFonts w:hint="eastAsia"/>
          <w:lang w:val="en-US" w:eastAsia="zh-CN"/>
        </w:rPr>
        <w:t>.</w:t>
      </w:r>
      <w:bookmarkEnd w:id="24"/>
      <w:bookmarkEnd w:id="25"/>
      <w:bookmarkEnd w:id="26"/>
      <w:bookmarkEnd w:id="27"/>
      <w:bookmarkEnd w:id="28"/>
    </w:p>
    <w:p w:rsidR="00B176DE" w:rsidRDefault="00F73184">
      <w:pPr>
        <w:pStyle w:val="YJ-Proposal"/>
        <w:spacing w:before="120" w:after="120"/>
        <w:jc w:val="both"/>
        <w:rPr>
          <w:lang w:val="en-US" w:eastAsia="zh-CN"/>
        </w:rPr>
      </w:pPr>
      <w:bookmarkStart w:id="29" w:name="_Toc8893"/>
      <w:bookmarkStart w:id="30" w:name="_Toc22758"/>
      <w:bookmarkStart w:id="31" w:name="_Toc30016"/>
      <w:bookmarkStart w:id="32" w:name="_Toc7101"/>
      <w:bookmarkStart w:id="33" w:name="_Toc12229"/>
      <w:bookmarkStart w:id="34" w:name="_Toc10116"/>
      <w:bookmarkStart w:id="35" w:name="_Toc30323"/>
      <w:bookmarkStart w:id="36" w:name="_Toc6940"/>
      <w:bookmarkStart w:id="37" w:name="_Toc13079"/>
      <w:bookmarkStart w:id="38" w:name="_Toc13621"/>
      <w:bookmarkStart w:id="39" w:name="_Toc258"/>
      <w:bookmarkStart w:id="40" w:name="_Toc68678817"/>
      <w:bookmarkStart w:id="41" w:name="_Toc27561"/>
      <w:bookmarkStart w:id="42" w:name="_Toc79164575"/>
      <w:r>
        <w:t>Fo</w:t>
      </w:r>
      <w:r>
        <w:t xml:space="preserve">r a given </w:t>
      </w:r>
      <w:r>
        <w:rPr>
          <w:rFonts w:hint="eastAsia"/>
          <w:lang w:val="en-US" w:eastAsia="zh-CN"/>
        </w:rPr>
        <w:t>resource</w:t>
      </w:r>
      <w:r>
        <w:t xml:space="preserve"> of an IAB</w:t>
      </w:r>
      <w:r>
        <w:rPr>
          <w:rFonts w:hint="eastAsia"/>
          <w:lang w:val="en-US" w:eastAsia="zh-CN"/>
        </w:rPr>
        <w:t xml:space="preserve"> </w:t>
      </w:r>
      <w:r>
        <w:t>DU cell, IAB</w:t>
      </w:r>
      <w:r>
        <w:rPr>
          <w:lang w:val="en-US" w:eastAsia="zh-CN"/>
        </w:rPr>
        <w:t xml:space="preserve"> node can be</w:t>
      </w:r>
      <w:r>
        <w:t xml:space="preserve"> </w:t>
      </w:r>
      <w:r>
        <w:rPr>
          <w:rFonts w:hint="eastAsia"/>
          <w:lang w:val="en-US" w:eastAsia="zh-CN"/>
        </w:rPr>
        <w:t xml:space="preserve">configured </w:t>
      </w:r>
      <w:r>
        <w:t xml:space="preserve">with either Rel-16 H/S/NA or </w:t>
      </w:r>
      <w:r>
        <w:rPr>
          <w:rFonts w:cs="Times"/>
        </w:rPr>
        <w:t>frequency-domain H/S/NA</w:t>
      </w:r>
      <w:r>
        <w:rPr>
          <w:lang w:val="en-US" w:eastAsia="zh-CN"/>
        </w:rPr>
        <w:t>.</w:t>
      </w:r>
      <w:bookmarkEnd w:id="29"/>
      <w:bookmarkEnd w:id="30"/>
      <w:bookmarkEnd w:id="31"/>
      <w:bookmarkEnd w:id="32"/>
      <w:bookmarkEnd w:id="33"/>
      <w:bookmarkEnd w:id="34"/>
      <w:bookmarkEnd w:id="35"/>
      <w:bookmarkEnd w:id="36"/>
      <w:bookmarkEnd w:id="37"/>
      <w:bookmarkEnd w:id="38"/>
      <w:bookmarkEnd w:id="39"/>
      <w:bookmarkEnd w:id="40"/>
      <w:bookmarkEnd w:id="42"/>
      <w:r>
        <w:rPr>
          <w:lang w:val="en-US" w:eastAsia="zh-CN"/>
        </w:rPr>
        <w:t xml:space="preserve"> </w:t>
      </w:r>
      <w:bookmarkEnd w:id="41"/>
    </w:p>
    <w:p w:rsidR="00B176DE" w:rsidRDefault="00B176DE">
      <w:pPr>
        <w:pStyle w:val="YJ-Proposal"/>
        <w:numPr>
          <w:ilvl w:val="0"/>
          <w:numId w:val="0"/>
        </w:numPr>
        <w:spacing w:before="120" w:after="120"/>
        <w:jc w:val="both"/>
        <w:rPr>
          <w:lang w:val="en-US" w:eastAsia="zh-CN"/>
        </w:rPr>
      </w:pPr>
    </w:p>
    <w:p w:rsidR="00B176DE" w:rsidRDefault="00F73184">
      <w:pPr>
        <w:pStyle w:val="3"/>
        <w:spacing w:after="120"/>
        <w:ind w:right="210"/>
      </w:pPr>
      <w:r>
        <w:t>Dynamic availability indication</w:t>
      </w:r>
    </w:p>
    <w:p w:rsidR="00B176DE" w:rsidRDefault="00F73184">
      <w:pPr>
        <w:spacing w:before="120" w:after="120"/>
        <w:rPr>
          <w:sz w:val="20"/>
        </w:rPr>
      </w:pPr>
      <w:r>
        <w:rPr>
          <w:sz w:val="20"/>
        </w:rPr>
        <w:t>The following agreements have been made in RAN1#10</w:t>
      </w:r>
      <w:r>
        <w:rPr>
          <w:rFonts w:hint="eastAsia"/>
          <w:sz w:val="20"/>
        </w:rPr>
        <w:t>5</w:t>
      </w:r>
      <w:r>
        <w:rPr>
          <w:sz w:val="20"/>
        </w:rPr>
        <w:t>-e on dynamic indication of availability for soft fr</w:t>
      </w:r>
      <w:r>
        <w:rPr>
          <w:sz w:val="20"/>
        </w:rPr>
        <w:t>equency resources for DU</w:t>
      </w:r>
      <w:r w:rsidR="002F7500">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B176DE">
        <w:trPr>
          <w:trHeight w:val="1120"/>
        </w:trPr>
        <w:tc>
          <w:tcPr>
            <w:tcW w:w="9876" w:type="dxa"/>
          </w:tcPr>
          <w:p w:rsidR="00B176DE" w:rsidRDefault="00F73184">
            <w:pPr>
              <w:spacing w:before="120" w:after="120"/>
              <w:ind w:left="1260" w:hanging="1260"/>
              <w:contextualSpacing/>
              <w:rPr>
                <w:rFonts w:cs="Times"/>
                <w:b/>
                <w:sz w:val="20"/>
                <w:highlight w:val="green"/>
              </w:rPr>
            </w:pPr>
            <w:r>
              <w:rPr>
                <w:rFonts w:cs="Times"/>
                <w:b/>
                <w:sz w:val="20"/>
                <w:highlight w:val="green"/>
              </w:rPr>
              <w:t>Agreement</w:t>
            </w:r>
          </w:p>
          <w:p w:rsidR="00B176DE" w:rsidRDefault="00F73184">
            <w:pPr>
              <w:spacing w:before="120" w:after="120"/>
              <w:ind w:left="1260" w:hanging="1260"/>
              <w:contextualSpacing/>
              <w:rPr>
                <w:rFonts w:cs="Times"/>
                <w:bCs/>
                <w:sz w:val="20"/>
              </w:rPr>
            </w:pPr>
            <w:r>
              <w:rPr>
                <w:rFonts w:cs="Times"/>
                <w:bCs/>
                <w:sz w:val="20"/>
              </w:rPr>
              <w:t>DCI Format 2_5 is reused to support soft resource availability indications for frequency-domain resources</w:t>
            </w:r>
          </w:p>
          <w:p w:rsidR="00B176DE" w:rsidRDefault="00F73184">
            <w:pPr>
              <w:pStyle w:val="af0"/>
              <w:numPr>
                <w:ilvl w:val="0"/>
                <w:numId w:val="10"/>
              </w:numPr>
              <w:overflowPunct w:val="0"/>
              <w:autoSpaceDE w:val="0"/>
              <w:autoSpaceDN w:val="0"/>
              <w:adjustRightInd w:val="0"/>
              <w:spacing w:after="120"/>
              <w:textAlignment w:val="baseline"/>
              <w:rPr>
                <w:rFonts w:cs="Times"/>
                <w:bCs/>
                <w:sz w:val="20"/>
                <w:szCs w:val="20"/>
              </w:rPr>
            </w:pPr>
            <w:r>
              <w:rPr>
                <w:rFonts w:cs="Times"/>
                <w:bCs/>
                <w:sz w:val="20"/>
                <w:szCs w:val="20"/>
              </w:rPr>
              <w:t>FFS: If additional enhancements are necessary</w:t>
            </w:r>
          </w:p>
          <w:p w:rsidR="00B176DE" w:rsidRDefault="00B176DE">
            <w:pPr>
              <w:spacing w:before="120" w:after="120"/>
              <w:rPr>
                <w:sz w:val="20"/>
              </w:rPr>
            </w:pPr>
          </w:p>
        </w:tc>
      </w:tr>
    </w:tbl>
    <w:p w:rsidR="00B176DE" w:rsidRDefault="00B176DE">
      <w:pPr>
        <w:spacing w:beforeLines="0" w:afterLines="0" w:line="259" w:lineRule="auto"/>
        <w:rPr>
          <w:sz w:val="20"/>
        </w:rPr>
      </w:pPr>
    </w:p>
    <w:p w:rsidR="00B176DE" w:rsidRDefault="00F73184">
      <w:pPr>
        <w:spacing w:beforeLines="0" w:afterLines="0" w:line="259" w:lineRule="auto"/>
        <w:rPr>
          <w:sz w:val="20"/>
        </w:rPr>
      </w:pPr>
      <w:r>
        <w:rPr>
          <w:rFonts w:hint="eastAsia"/>
          <w:sz w:val="20"/>
        </w:rPr>
        <w:t>In Rel-16 IAB, f</w:t>
      </w:r>
      <w:r>
        <w:t>or an IAB-DU</w:t>
      </w:r>
      <w:r>
        <w:rPr>
          <w:rFonts w:hint="eastAsia"/>
        </w:rPr>
        <w:t xml:space="preserve"> cell, a</w:t>
      </w:r>
      <w:r>
        <w:rPr>
          <w:rFonts w:hint="eastAsia"/>
          <w:sz w:val="20"/>
        </w:rPr>
        <w:t xml:space="preserve"> set of </w:t>
      </w:r>
      <w:r>
        <w:rPr>
          <w:sz w:val="20"/>
        </w:rPr>
        <w:t xml:space="preserve">availability </w:t>
      </w:r>
      <w:r>
        <w:rPr>
          <w:sz w:val="20"/>
        </w:rPr>
        <w:t>combinations</w:t>
      </w:r>
      <w:r>
        <w:rPr>
          <w:rFonts w:hint="eastAsia"/>
          <w:sz w:val="20"/>
        </w:rPr>
        <w:t xml:space="preserve"> (i.e. </w:t>
      </w:r>
      <w:r>
        <w:t>availability combination</w:t>
      </w:r>
      <w:r>
        <w:rPr>
          <w:rFonts w:hint="eastAsia"/>
        </w:rPr>
        <w:t xml:space="preserve"> table</w:t>
      </w:r>
      <w:r>
        <w:rPr>
          <w:rFonts w:hint="eastAsia"/>
          <w:sz w:val="20"/>
        </w:rPr>
        <w:t xml:space="preserve">) are provided by RRC signaling, and one </w:t>
      </w:r>
      <w:r>
        <w:rPr>
          <w:sz w:val="20"/>
        </w:rPr>
        <w:t>availability combination</w:t>
      </w:r>
      <w:r>
        <w:rPr>
          <w:rFonts w:hint="eastAsia"/>
          <w:sz w:val="20"/>
        </w:rPr>
        <w:t xml:space="preserve"> are indicated by DCI </w:t>
      </w:r>
      <w:r>
        <w:rPr>
          <w:rFonts w:hint="eastAsia"/>
          <w:sz w:val="20"/>
        </w:rPr>
        <w:t>F</w:t>
      </w:r>
      <w:r>
        <w:rPr>
          <w:rFonts w:hint="eastAsia"/>
          <w:sz w:val="20"/>
        </w:rPr>
        <w:t xml:space="preserve">ormat 2_5 to indicate the availability of soft resources at carrier level in one or more slots. </w:t>
      </w:r>
      <w:r>
        <w:rPr>
          <w:rFonts w:hint="eastAsia"/>
          <w:sz w:val="20"/>
        </w:rPr>
        <w:t>The agreements have bee</w:t>
      </w:r>
      <w:r>
        <w:rPr>
          <w:rFonts w:hint="eastAsia"/>
          <w:sz w:val="20"/>
        </w:rPr>
        <w:t>n made to reuse DCI Format 2_5 in</w:t>
      </w:r>
      <w:r>
        <w:rPr>
          <w:rFonts w:hint="eastAsia"/>
          <w:sz w:val="20"/>
        </w:rPr>
        <w:t xml:space="preserve"> Rel-17 IAB</w:t>
      </w:r>
      <w:r>
        <w:rPr>
          <w:rFonts w:hint="eastAsia"/>
          <w:sz w:val="20"/>
        </w:rPr>
        <w:t xml:space="preserve"> to support soft resource availability indications for frequency-domain resources</w:t>
      </w:r>
      <w:r>
        <w:rPr>
          <w:rFonts w:hint="eastAsia"/>
          <w:sz w:val="20"/>
        </w:rPr>
        <w:t>.</w:t>
      </w:r>
    </w:p>
    <w:p w:rsidR="00B176DE" w:rsidRDefault="00F73184">
      <w:pPr>
        <w:spacing w:beforeLines="0" w:afterLines="0" w:line="259" w:lineRule="auto"/>
        <w:rPr>
          <w:sz w:val="20"/>
        </w:rPr>
      </w:pPr>
      <w:r>
        <w:rPr>
          <w:rFonts w:hint="eastAsia"/>
        </w:rPr>
        <w:t>If</w:t>
      </w:r>
      <w:r>
        <w:rPr>
          <w:rFonts w:hint="eastAsia"/>
          <w:sz w:val="20"/>
        </w:rPr>
        <w:t xml:space="preserve"> DCI Format 2_5 is fully reused</w:t>
      </w:r>
      <w:r w:rsidR="002F7500">
        <w:rPr>
          <w:rFonts w:hint="eastAsia"/>
          <w:sz w:val="20"/>
        </w:rPr>
        <w:t xml:space="preserve"> </w:t>
      </w:r>
      <w:r>
        <w:rPr>
          <w:rFonts w:hint="eastAsia"/>
          <w:sz w:val="20"/>
        </w:rPr>
        <w:t>(i.e. no additional enhancements), no standardization effort is required and it can be better co</w:t>
      </w:r>
      <w:r>
        <w:rPr>
          <w:rFonts w:hint="eastAsia"/>
          <w:sz w:val="20"/>
        </w:rPr>
        <w:t xml:space="preserve">mpatible with TDM. For example, for TDM slot, availability indication is valid for all soft symbols in the slot, for FDM slot, availability indication is only valid for all soft resource in the slot. As shown in figure 2, </w:t>
      </w:r>
      <w:r>
        <w:rPr>
          <w:rFonts w:hint="eastAsia"/>
          <w:sz w:val="20"/>
        </w:rPr>
        <w:t xml:space="preserve">DCI </w:t>
      </w:r>
      <w:r>
        <w:rPr>
          <w:rFonts w:hint="eastAsia"/>
          <w:sz w:val="20"/>
        </w:rPr>
        <w:t>F</w:t>
      </w:r>
      <w:r>
        <w:rPr>
          <w:rFonts w:hint="eastAsia"/>
          <w:sz w:val="20"/>
        </w:rPr>
        <w:t>ormat 2_5</w:t>
      </w:r>
      <w:r>
        <w:rPr>
          <w:rFonts w:hint="eastAsia"/>
          <w:sz w:val="20"/>
        </w:rPr>
        <w:t xml:space="preserve"> indicates only the </w:t>
      </w:r>
      <w:r>
        <w:rPr>
          <w:rFonts w:hint="eastAsia"/>
          <w:sz w:val="20"/>
        </w:rPr>
        <w:t>availability of S resources highlighted in yellow. It seems unnecessary to introduce additional enhancements to support soft resource availability indications per RB set since FDM is already supported by semi-static resource configuration in frequency doma</w:t>
      </w:r>
      <w:r>
        <w:rPr>
          <w:rFonts w:hint="eastAsia"/>
          <w:sz w:val="20"/>
        </w:rPr>
        <w:t>in.</w:t>
      </w:r>
    </w:p>
    <w:p w:rsidR="00B176DE" w:rsidRDefault="00F73184">
      <w:pPr>
        <w:spacing w:beforeLines="0" w:afterLines="0" w:line="259" w:lineRule="auto"/>
        <w:jc w:val="center"/>
        <w:rPr>
          <w:sz w:val="20"/>
        </w:rPr>
      </w:pPr>
      <w:r>
        <w:rPr>
          <w:rFonts w:ascii="sans-serif" w:eastAsia="sans-serif" w:hAnsi="sans-serif" w:cs="sans-serif"/>
          <w:noProof/>
          <w:color w:val="000000"/>
          <w:sz w:val="18"/>
          <w:szCs w:val="18"/>
        </w:rPr>
        <w:drawing>
          <wp:inline distT="0" distB="0" distL="114300" distR="114300" wp14:anchorId="342AC2B8" wp14:editId="677CCE67">
            <wp:extent cx="3034665" cy="1398270"/>
            <wp:effectExtent l="0" t="0" r="13335" b="1143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9"/>
                    <a:stretch>
                      <a:fillRect/>
                    </a:stretch>
                  </pic:blipFill>
                  <pic:spPr>
                    <a:xfrm>
                      <a:off x="0" y="0"/>
                      <a:ext cx="3034665" cy="1398270"/>
                    </a:xfrm>
                    <a:prstGeom prst="rect">
                      <a:avLst/>
                    </a:prstGeom>
                    <a:noFill/>
                    <a:ln w="9525">
                      <a:noFill/>
                    </a:ln>
                  </pic:spPr>
                </pic:pic>
              </a:graphicData>
            </a:graphic>
          </wp:inline>
        </w:drawing>
      </w:r>
    </w:p>
    <w:p w:rsidR="00B176DE" w:rsidRDefault="00B176DE">
      <w:pPr>
        <w:spacing w:beforeLines="0" w:afterLines="0" w:line="259" w:lineRule="auto"/>
        <w:rPr>
          <w:sz w:val="20"/>
        </w:rPr>
      </w:pPr>
    </w:p>
    <w:p w:rsidR="00B176DE" w:rsidRDefault="00F73184">
      <w:pPr>
        <w:spacing w:beforeLines="0" w:afterLines="0" w:line="259" w:lineRule="auto"/>
        <w:jc w:val="center"/>
        <w:rPr>
          <w:b/>
          <w:bCs/>
          <w:sz w:val="20"/>
        </w:rPr>
      </w:pPr>
      <w:r>
        <w:rPr>
          <w:rFonts w:hint="eastAsia"/>
          <w:b/>
          <w:bCs/>
          <w:sz w:val="20"/>
        </w:rPr>
        <w:t xml:space="preserve">Figure </w:t>
      </w:r>
      <w:r>
        <w:rPr>
          <w:rFonts w:hint="eastAsia"/>
          <w:b/>
          <w:bCs/>
          <w:sz w:val="20"/>
        </w:rPr>
        <w:t>2</w:t>
      </w:r>
      <w:r>
        <w:rPr>
          <w:rFonts w:hint="eastAsia"/>
          <w:b/>
          <w:bCs/>
          <w:sz w:val="20"/>
        </w:rPr>
        <w:t xml:space="preserve">: Example of </w:t>
      </w:r>
      <w:r>
        <w:rPr>
          <w:rFonts w:hint="eastAsia"/>
          <w:b/>
          <w:bCs/>
          <w:sz w:val="20"/>
        </w:rPr>
        <w:t>DCI Format 2_5 indicating soft resource availability</w:t>
      </w:r>
    </w:p>
    <w:p w:rsidR="00B176DE" w:rsidRDefault="00B176DE">
      <w:pPr>
        <w:spacing w:beforeLines="0" w:afterLines="0" w:line="259" w:lineRule="auto"/>
        <w:rPr>
          <w:sz w:val="20"/>
        </w:rPr>
      </w:pPr>
    </w:p>
    <w:p w:rsidR="00B176DE" w:rsidRDefault="00F73184">
      <w:pPr>
        <w:pStyle w:val="YJ-Proposal"/>
        <w:spacing w:before="120" w:after="120"/>
        <w:rPr>
          <w:lang w:val="en-US"/>
        </w:rPr>
      </w:pPr>
      <w:bookmarkStart w:id="43" w:name="_Toc8249"/>
      <w:bookmarkStart w:id="44" w:name="_Toc2718"/>
      <w:bookmarkStart w:id="45" w:name="_Toc10846"/>
      <w:bookmarkStart w:id="46" w:name="_Toc176"/>
      <w:bookmarkStart w:id="47" w:name="_Toc22441"/>
      <w:bookmarkStart w:id="48" w:name="_Toc79164576"/>
      <w:r>
        <w:rPr>
          <w:rFonts w:cs="Times" w:hint="eastAsia"/>
          <w:lang w:val="en-US" w:eastAsia="zh-CN"/>
        </w:rPr>
        <w:t>Rel-16 DCI Format 2_5 is reused to indicate soft resource availability for TDM and FDM slots:</w:t>
      </w:r>
      <w:bookmarkEnd w:id="43"/>
      <w:bookmarkEnd w:id="44"/>
      <w:bookmarkEnd w:id="45"/>
      <w:bookmarkEnd w:id="46"/>
      <w:bookmarkEnd w:id="47"/>
      <w:bookmarkEnd w:id="48"/>
    </w:p>
    <w:p w:rsidR="00B176DE" w:rsidRDefault="00F73184">
      <w:pPr>
        <w:pStyle w:val="sub-proposal"/>
        <w:spacing w:before="120" w:after="120"/>
        <w:ind w:left="822" w:hanging="402"/>
        <w:rPr>
          <w:lang w:val="en-US"/>
        </w:rPr>
      </w:pPr>
      <w:bookmarkStart w:id="49" w:name="_Toc26591"/>
      <w:bookmarkStart w:id="50" w:name="_Toc20557"/>
      <w:bookmarkStart w:id="51" w:name="_Toc349"/>
      <w:bookmarkStart w:id="52" w:name="_Toc25678"/>
      <w:bookmarkStart w:id="53" w:name="_Toc274"/>
      <w:bookmarkStart w:id="54" w:name="_Toc79164577"/>
      <w:r>
        <w:rPr>
          <w:rFonts w:cs="Times" w:hint="eastAsia"/>
          <w:lang w:val="en-US" w:eastAsia="zh-CN"/>
        </w:rPr>
        <w:t xml:space="preserve">For TDM slot, </w:t>
      </w:r>
      <w:r>
        <w:rPr>
          <w:rFonts w:hint="eastAsia"/>
          <w:lang w:val="en-US" w:eastAsia="zh-CN"/>
        </w:rPr>
        <w:t xml:space="preserve">availability indication is valid </w:t>
      </w:r>
      <w:r>
        <w:rPr>
          <w:rFonts w:cs="Times" w:hint="eastAsia"/>
          <w:lang w:val="en-US" w:eastAsia="zh-CN"/>
        </w:rPr>
        <w:t>for all soft symbols in the slot</w:t>
      </w:r>
      <w:bookmarkEnd w:id="49"/>
      <w:bookmarkEnd w:id="50"/>
      <w:bookmarkEnd w:id="51"/>
      <w:bookmarkEnd w:id="52"/>
      <w:bookmarkEnd w:id="53"/>
      <w:bookmarkEnd w:id="54"/>
    </w:p>
    <w:p w:rsidR="00B176DE" w:rsidRDefault="00F73184">
      <w:pPr>
        <w:pStyle w:val="sub-proposal"/>
        <w:spacing w:before="120" w:after="120"/>
        <w:ind w:left="822" w:hanging="402"/>
        <w:rPr>
          <w:lang w:val="en-US" w:eastAsia="zh-CN"/>
        </w:rPr>
      </w:pPr>
      <w:bookmarkStart w:id="55" w:name="_Toc15804"/>
      <w:bookmarkStart w:id="56" w:name="_Toc31041"/>
      <w:bookmarkStart w:id="57" w:name="_Toc30455"/>
      <w:bookmarkStart w:id="58" w:name="_Toc15798"/>
      <w:bookmarkStart w:id="59" w:name="_Toc20768"/>
      <w:bookmarkStart w:id="60" w:name="_Toc79164578"/>
      <w:r>
        <w:rPr>
          <w:rFonts w:cs="Times" w:hint="eastAsia"/>
          <w:lang w:val="en-US" w:eastAsia="zh-CN"/>
        </w:rPr>
        <w:t xml:space="preserve">For FDM slot, </w:t>
      </w:r>
      <w:r>
        <w:rPr>
          <w:rFonts w:hint="eastAsia"/>
          <w:lang w:val="en-US" w:eastAsia="zh-CN"/>
        </w:rPr>
        <w:t>availability indication</w:t>
      </w:r>
      <w:r>
        <w:rPr>
          <w:rFonts w:cs="Times" w:hint="eastAsia"/>
          <w:lang w:val="en-US" w:eastAsia="zh-CN"/>
        </w:rPr>
        <w:t xml:space="preserve"> is only valid for all soft resource in the slot</w:t>
      </w:r>
      <w:r>
        <w:rPr>
          <w:lang w:val="en-US"/>
        </w:rPr>
        <w:t>.</w:t>
      </w:r>
      <w:bookmarkEnd w:id="55"/>
      <w:bookmarkEnd w:id="56"/>
      <w:bookmarkEnd w:id="57"/>
      <w:bookmarkEnd w:id="58"/>
      <w:bookmarkEnd w:id="59"/>
      <w:bookmarkEnd w:id="60"/>
    </w:p>
    <w:p w:rsidR="00B176DE" w:rsidRDefault="00F73184">
      <w:pPr>
        <w:pStyle w:val="YJ-Proposal"/>
        <w:spacing w:before="120" w:after="120"/>
        <w:rPr>
          <w:lang w:val="en-US"/>
        </w:rPr>
      </w:pPr>
      <w:bookmarkStart w:id="61" w:name="_Toc28359"/>
      <w:bookmarkStart w:id="62" w:name="_Toc23834"/>
      <w:bookmarkStart w:id="63" w:name="_Toc15965"/>
      <w:bookmarkStart w:id="64" w:name="_Toc19338"/>
      <w:bookmarkStart w:id="65" w:name="_Toc16552"/>
      <w:bookmarkStart w:id="66" w:name="_Toc68678820"/>
      <w:bookmarkStart w:id="67" w:name="_Toc2189"/>
      <w:bookmarkStart w:id="68" w:name="_Toc17248"/>
      <w:bookmarkStart w:id="69" w:name="_Toc429"/>
      <w:bookmarkStart w:id="70" w:name="_Toc13188"/>
      <w:bookmarkStart w:id="71" w:name="_Toc30354"/>
      <w:bookmarkStart w:id="72" w:name="_Toc15874"/>
      <w:bookmarkStart w:id="73" w:name="_Toc4265"/>
      <w:bookmarkStart w:id="74" w:name="_Toc79164579"/>
      <w:r>
        <w:rPr>
          <w:rFonts w:cs="Times" w:hint="eastAsia"/>
          <w:lang w:val="en-US" w:eastAsia="zh-CN"/>
        </w:rPr>
        <w:t>A</w:t>
      </w:r>
      <w:r>
        <w:rPr>
          <w:rFonts w:cs="Times"/>
        </w:rPr>
        <w:t>dditional enhancements</w:t>
      </w:r>
      <w:r>
        <w:rPr>
          <w:rFonts w:cs="Times" w:hint="eastAsia"/>
          <w:lang w:val="en-US" w:eastAsia="zh-CN"/>
        </w:rPr>
        <w:t xml:space="preserve"> to DCI Format 2_5</w:t>
      </w:r>
      <w:r>
        <w:rPr>
          <w:rFonts w:cs="Times"/>
        </w:rPr>
        <w:t xml:space="preserve"> are</w:t>
      </w:r>
      <w:r>
        <w:rPr>
          <w:rFonts w:cs="Times" w:hint="eastAsia"/>
          <w:lang w:val="en-US" w:eastAsia="zh-CN"/>
        </w:rPr>
        <w:t xml:space="preserve"> not</w:t>
      </w:r>
      <w:r>
        <w:rPr>
          <w:rFonts w:cs="Times"/>
        </w:rPr>
        <w:t xml:space="preserve"> necessary</w:t>
      </w:r>
      <w:r>
        <w:rPr>
          <w:lang w:val="en-US"/>
        </w:rPr>
        <w:t>.</w:t>
      </w:r>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B176DE" w:rsidRDefault="00B176DE">
      <w:pPr>
        <w:pStyle w:val="YJ-Proposal"/>
        <w:numPr>
          <w:ilvl w:val="0"/>
          <w:numId w:val="0"/>
        </w:numPr>
        <w:spacing w:before="120" w:after="120"/>
        <w:rPr>
          <w:lang w:val="en-US" w:eastAsia="zh-CN"/>
        </w:rPr>
      </w:pPr>
    </w:p>
    <w:p w:rsidR="00B176DE" w:rsidRDefault="00F73184">
      <w:pPr>
        <w:pStyle w:val="2"/>
        <w:spacing w:before="120" w:after="120"/>
        <w:ind w:left="991" w:right="210" w:hangingChars="354" w:hanging="991"/>
        <w:rPr>
          <w:rFonts w:cs="Arial"/>
          <w:szCs w:val="28"/>
        </w:rPr>
      </w:pPr>
      <w:r>
        <w:rPr>
          <w:rFonts w:cs="Arial"/>
          <w:szCs w:val="28"/>
        </w:rPr>
        <w:t>Spatial domain</w:t>
      </w:r>
    </w:p>
    <w:p w:rsidR="00B176DE" w:rsidRDefault="00F73184">
      <w:pPr>
        <w:spacing w:before="120" w:after="120"/>
        <w:rPr>
          <w:sz w:val="20"/>
        </w:rPr>
      </w:pPr>
      <w:r>
        <w:rPr>
          <w:sz w:val="20"/>
        </w:rPr>
        <w:t>The following agreements have been made in RAN1#10</w:t>
      </w:r>
      <w:r>
        <w:rPr>
          <w:rFonts w:hint="eastAsia"/>
          <w:sz w:val="20"/>
        </w:rPr>
        <w:t>5</w:t>
      </w:r>
      <w:r>
        <w:rPr>
          <w:sz w:val="20"/>
        </w:rPr>
        <w:t xml:space="preserve">-e on whether/how to manage resources in </w:t>
      </w:r>
      <w:r>
        <w:rPr>
          <w:sz w:val="20"/>
        </w:rPr>
        <w:t>the spatial domain</w:t>
      </w:r>
      <w:r w:rsidR="002F7500">
        <w:rPr>
          <w:rFonts w:hint="eastAsia"/>
          <w:sz w:val="20"/>
        </w:rPr>
        <w:t xml:space="preserve"> </w:t>
      </w:r>
      <w:r>
        <w:rPr>
          <w:rFonts w:hint="eastAsia"/>
          <w:sz w:val="20"/>
        </w:rPr>
        <w:t>[1]</w:t>
      </w:r>
      <w:r>
        <w:rPr>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B176DE">
        <w:trPr>
          <w:trHeight w:val="1120"/>
        </w:trPr>
        <w:tc>
          <w:tcPr>
            <w:tcW w:w="9876" w:type="dxa"/>
          </w:tcPr>
          <w:p w:rsidR="00B176DE" w:rsidRDefault="00F73184">
            <w:pPr>
              <w:spacing w:before="120" w:after="120"/>
              <w:rPr>
                <w:rFonts w:cs="Times"/>
                <w:b/>
                <w:sz w:val="20"/>
                <w:highlight w:val="green"/>
              </w:rPr>
            </w:pPr>
            <w:r>
              <w:rPr>
                <w:rFonts w:cs="Times"/>
                <w:b/>
                <w:sz w:val="20"/>
                <w:highlight w:val="green"/>
              </w:rPr>
              <w:t>Agreement</w:t>
            </w:r>
          </w:p>
          <w:p w:rsidR="00B176DE" w:rsidRDefault="00F73184">
            <w:pPr>
              <w:spacing w:before="120" w:after="120"/>
              <w:rPr>
                <w:rFonts w:cs="Times"/>
                <w:sz w:val="20"/>
              </w:rPr>
            </w:pPr>
            <w:r>
              <w:rPr>
                <w:rFonts w:cs="Times"/>
                <w:sz w:val="20"/>
              </w:rPr>
              <w:t xml:space="preserve">In case of simultaneous MT/DU operation, </w:t>
            </w:r>
          </w:p>
          <w:p w:rsidR="00B176DE" w:rsidRDefault="00F73184">
            <w:pPr>
              <w:pStyle w:val="af0"/>
              <w:numPr>
                <w:ilvl w:val="0"/>
                <w:numId w:val="11"/>
              </w:numPr>
              <w:spacing w:after="120"/>
              <w:rPr>
                <w:rFonts w:cs="Times"/>
                <w:sz w:val="20"/>
                <w:szCs w:val="20"/>
              </w:rPr>
            </w:pPr>
            <w:r>
              <w:rPr>
                <w:rFonts w:cs="Times"/>
                <w:sz w:val="20"/>
                <w:szCs w:val="20"/>
              </w:rPr>
              <w:t>the parent node can dynamically indicate to the child node at least a set of restricted beams at the IAB-DU of the child node</w:t>
            </w:r>
          </w:p>
          <w:p w:rsidR="00B176DE" w:rsidRDefault="00F73184">
            <w:pPr>
              <w:pStyle w:val="af0"/>
              <w:numPr>
                <w:ilvl w:val="0"/>
                <w:numId w:val="11"/>
              </w:numPr>
              <w:spacing w:after="120"/>
              <w:rPr>
                <w:rFonts w:cs="Times"/>
                <w:sz w:val="20"/>
                <w:szCs w:val="20"/>
              </w:rPr>
            </w:pPr>
            <w:r>
              <w:rPr>
                <w:rFonts w:cs="Times"/>
                <w:sz w:val="20"/>
                <w:szCs w:val="20"/>
              </w:rPr>
              <w:t>the child node can dynamically report to the parent nod</w:t>
            </w:r>
            <w:r>
              <w:rPr>
                <w:rFonts w:cs="Times"/>
                <w:sz w:val="20"/>
                <w:szCs w:val="20"/>
              </w:rPr>
              <w:t>e a set of recommended beams, not preferred beams, or both recommended and not preferred beams of the IAB-MT of the child node</w:t>
            </w:r>
          </w:p>
          <w:p w:rsidR="00B176DE" w:rsidRDefault="00F73184">
            <w:pPr>
              <w:pStyle w:val="af0"/>
              <w:numPr>
                <w:ilvl w:val="1"/>
                <w:numId w:val="11"/>
              </w:numPr>
              <w:spacing w:after="120"/>
              <w:rPr>
                <w:rFonts w:cs="Times"/>
                <w:sz w:val="20"/>
                <w:szCs w:val="20"/>
              </w:rPr>
            </w:pPr>
            <w:r>
              <w:rPr>
                <w:rFonts w:cs="Times"/>
                <w:sz w:val="20"/>
                <w:szCs w:val="20"/>
              </w:rPr>
              <w:t>FFS: Whether the specification supports all reporting combinations.</w:t>
            </w:r>
          </w:p>
          <w:p w:rsidR="00B176DE" w:rsidRDefault="00F73184">
            <w:pPr>
              <w:pStyle w:val="af0"/>
              <w:numPr>
                <w:ilvl w:val="0"/>
                <w:numId w:val="11"/>
              </w:numPr>
              <w:spacing w:after="120"/>
              <w:rPr>
                <w:rFonts w:cs="Times"/>
                <w:sz w:val="20"/>
                <w:szCs w:val="20"/>
              </w:rPr>
            </w:pPr>
            <w:r>
              <w:rPr>
                <w:rFonts w:cs="Times"/>
                <w:sz w:val="20"/>
                <w:szCs w:val="20"/>
              </w:rPr>
              <w:t>FFS: Applicability to specific multiplexing cases or specific</w:t>
            </w:r>
            <w:r>
              <w:rPr>
                <w:rFonts w:cs="Times"/>
                <w:sz w:val="20"/>
                <w:szCs w:val="20"/>
              </w:rPr>
              <w:t xml:space="preserve"> time-frequency resources</w:t>
            </w:r>
          </w:p>
          <w:p w:rsidR="00B176DE" w:rsidRDefault="00F73184">
            <w:pPr>
              <w:pStyle w:val="af0"/>
              <w:numPr>
                <w:ilvl w:val="0"/>
                <w:numId w:val="11"/>
              </w:numPr>
              <w:spacing w:after="120"/>
              <w:rPr>
                <w:rFonts w:cs="Times"/>
                <w:sz w:val="20"/>
                <w:szCs w:val="20"/>
              </w:rPr>
            </w:pPr>
            <w:r>
              <w:rPr>
                <w:rFonts w:cs="Times"/>
                <w:sz w:val="20"/>
                <w:szCs w:val="20"/>
              </w:rPr>
              <w:t xml:space="preserve">FFS: Additional semi-static signaling </w:t>
            </w:r>
          </w:p>
          <w:p w:rsidR="00B176DE" w:rsidRDefault="00F73184">
            <w:pPr>
              <w:pStyle w:val="af0"/>
              <w:numPr>
                <w:ilvl w:val="0"/>
                <w:numId w:val="11"/>
              </w:numPr>
              <w:spacing w:after="120"/>
              <w:rPr>
                <w:rFonts w:cs="Times"/>
                <w:sz w:val="20"/>
                <w:szCs w:val="20"/>
              </w:rPr>
            </w:pPr>
            <w:r>
              <w:rPr>
                <w:rFonts w:cs="Times"/>
                <w:sz w:val="20"/>
                <w:szCs w:val="20"/>
              </w:rPr>
              <w:t>FFS: Per-panel granularity in addition to per-beam granularity</w:t>
            </w:r>
          </w:p>
          <w:p w:rsidR="00B176DE" w:rsidRDefault="00F73184">
            <w:pPr>
              <w:pStyle w:val="af0"/>
              <w:numPr>
                <w:ilvl w:val="0"/>
                <w:numId w:val="11"/>
              </w:numPr>
              <w:spacing w:after="120"/>
              <w:rPr>
                <w:rFonts w:cs="Times"/>
                <w:sz w:val="20"/>
                <w:szCs w:val="20"/>
              </w:rPr>
            </w:pPr>
            <w:r>
              <w:rPr>
                <w:rFonts w:cs="Times"/>
                <w:sz w:val="20"/>
                <w:szCs w:val="20"/>
              </w:rPr>
              <w:t>FFS: Relationship between child IAB-MT beam indication and parent IAB-DU beam indication</w:t>
            </w:r>
          </w:p>
          <w:p w:rsidR="00B176DE" w:rsidRDefault="00F73184">
            <w:pPr>
              <w:pStyle w:val="af0"/>
              <w:numPr>
                <w:ilvl w:val="0"/>
                <w:numId w:val="11"/>
              </w:numPr>
              <w:spacing w:after="120"/>
              <w:rPr>
                <w:rFonts w:cs="Times"/>
                <w:sz w:val="20"/>
                <w:szCs w:val="20"/>
              </w:rPr>
            </w:pPr>
            <w:r>
              <w:rPr>
                <w:rFonts w:cs="Times"/>
                <w:sz w:val="20"/>
                <w:szCs w:val="20"/>
              </w:rPr>
              <w:t>Note: This does not preclude any enhanc</w:t>
            </w:r>
            <w:r>
              <w:rPr>
                <w:rFonts w:cs="Times"/>
                <w:sz w:val="20"/>
                <w:szCs w:val="20"/>
              </w:rPr>
              <w:t>ements for either DU or MT-based CLI measurement and reports</w:t>
            </w:r>
          </w:p>
          <w:p w:rsidR="00B176DE" w:rsidRDefault="00B176DE">
            <w:pPr>
              <w:widowControl w:val="0"/>
              <w:spacing w:before="120" w:after="120"/>
              <w:rPr>
                <w:sz w:val="20"/>
              </w:rPr>
            </w:pPr>
          </w:p>
        </w:tc>
      </w:tr>
    </w:tbl>
    <w:p w:rsidR="00B176DE" w:rsidRDefault="00F73184">
      <w:pPr>
        <w:numPr>
          <w:ilvl w:val="255"/>
          <w:numId w:val="0"/>
        </w:numPr>
        <w:spacing w:before="120" w:after="120"/>
        <w:rPr>
          <w:sz w:val="20"/>
        </w:rPr>
      </w:pPr>
      <w:r>
        <w:rPr>
          <w:rFonts w:hint="eastAsia"/>
          <w:sz w:val="20"/>
        </w:rPr>
        <w:t xml:space="preserve">In beam management, IAB node can report several DL Tx beams with the best measurement quality by measuring DL RS, and parent node of the IAB node can know which UL Tx beams should be used by </w:t>
      </w:r>
      <w:r>
        <w:rPr>
          <w:rFonts w:hint="eastAsia"/>
          <w:sz w:val="20"/>
        </w:rPr>
        <w:t>measuring SRS from the IAB node. When the IAB node indicates the one of the preferred beams and the not preferred beams for MT of IAB nod</w:t>
      </w:r>
      <w:r w:rsidR="002F7500">
        <w:rPr>
          <w:rFonts w:hint="eastAsia"/>
          <w:sz w:val="20"/>
        </w:rPr>
        <w:t xml:space="preserve">e, the parent node can know </w:t>
      </w:r>
      <w:r>
        <w:rPr>
          <w:rFonts w:hint="eastAsia"/>
          <w:sz w:val="20"/>
        </w:rPr>
        <w:t>another kind of beams according to the IAB node</w:t>
      </w:r>
      <w:r>
        <w:rPr>
          <w:sz w:val="20"/>
        </w:rPr>
        <w:t>’</w:t>
      </w:r>
      <w:r>
        <w:rPr>
          <w:rFonts w:hint="eastAsia"/>
          <w:sz w:val="20"/>
        </w:rPr>
        <w:t>s indication and beam management proced</w:t>
      </w:r>
      <w:r>
        <w:rPr>
          <w:rFonts w:hint="eastAsia"/>
          <w:sz w:val="20"/>
        </w:rPr>
        <w:t>ure.</w:t>
      </w:r>
    </w:p>
    <w:p w:rsidR="00B176DE" w:rsidRDefault="00F73184">
      <w:pPr>
        <w:pStyle w:val="YJ-Proposal"/>
        <w:spacing w:before="120" w:after="120"/>
        <w:rPr>
          <w:lang w:val="en-US" w:eastAsia="zh-CN"/>
        </w:rPr>
      </w:pPr>
      <w:r>
        <w:t xml:space="preserve"> </w:t>
      </w:r>
      <w:bookmarkStart w:id="75" w:name="_Toc27372"/>
      <w:bookmarkStart w:id="76" w:name="_Toc9509"/>
      <w:bookmarkStart w:id="77" w:name="_Toc23298"/>
      <w:bookmarkStart w:id="78" w:name="_Toc7219"/>
      <w:bookmarkStart w:id="79" w:name="_Toc24671"/>
      <w:bookmarkStart w:id="80" w:name="_Toc79164580"/>
      <w:r>
        <w:rPr>
          <w:rFonts w:hint="eastAsia"/>
          <w:lang w:val="en-US" w:eastAsia="zh-CN"/>
        </w:rPr>
        <w:t>It is sufficient to indicate the one of the preferred beams and the not preferred beams for IAB node MT, and it is not necessary to indicate both of them at the same time</w:t>
      </w:r>
      <w:r>
        <w:t>.</w:t>
      </w:r>
      <w:bookmarkEnd w:id="75"/>
      <w:bookmarkEnd w:id="76"/>
      <w:bookmarkEnd w:id="77"/>
      <w:bookmarkEnd w:id="78"/>
      <w:bookmarkEnd w:id="79"/>
      <w:bookmarkEnd w:id="80"/>
    </w:p>
    <w:p w:rsidR="00B176DE" w:rsidRDefault="00F73184">
      <w:pPr>
        <w:numPr>
          <w:ilvl w:val="255"/>
          <w:numId w:val="0"/>
        </w:numPr>
        <w:spacing w:before="120" w:after="120"/>
        <w:rPr>
          <w:sz w:val="20"/>
        </w:rPr>
      </w:pPr>
      <w:r>
        <w:rPr>
          <w:rFonts w:cs="Times" w:hint="eastAsia"/>
          <w:sz w:val="20"/>
        </w:rPr>
        <w:t xml:space="preserve">In case of simultaneous MT/DU operation at an IAB node, a set of restricted </w:t>
      </w:r>
      <w:r>
        <w:rPr>
          <w:rFonts w:cs="Times"/>
          <w:sz w:val="20"/>
        </w:rPr>
        <w:t>beams at the IAB</w:t>
      </w:r>
      <w:r>
        <w:rPr>
          <w:rFonts w:cs="Times" w:hint="eastAsia"/>
          <w:sz w:val="20"/>
        </w:rPr>
        <w:t xml:space="preserve"> node </w:t>
      </w:r>
      <w:r>
        <w:rPr>
          <w:rFonts w:cs="Times"/>
          <w:sz w:val="20"/>
        </w:rPr>
        <w:t>DU</w:t>
      </w:r>
      <w:r>
        <w:rPr>
          <w:rFonts w:cs="Times" w:hint="eastAsia"/>
          <w:sz w:val="20"/>
        </w:rPr>
        <w:t xml:space="preserve"> can be determined according to the interference from access link to the backhaul link of the IAB node. While in case of non-simultaneous MT/DU operation at an IAB node, access link of parent node of the IAB node may still be interf</w:t>
      </w:r>
      <w:r>
        <w:rPr>
          <w:rFonts w:cs="Times" w:hint="eastAsia"/>
          <w:sz w:val="20"/>
        </w:rPr>
        <w:t xml:space="preserve">ered by access link of the IAB node. For </w:t>
      </w:r>
      <w:r>
        <w:rPr>
          <w:rFonts w:cs="Times"/>
          <w:sz w:val="20"/>
        </w:rPr>
        <w:t>a set of recommended beams, not preferred beams</w:t>
      </w:r>
      <w:r>
        <w:rPr>
          <w:rFonts w:cs="Times" w:hint="eastAsia"/>
          <w:sz w:val="20"/>
        </w:rPr>
        <w:t xml:space="preserve"> at</w:t>
      </w:r>
      <w:r>
        <w:rPr>
          <w:rFonts w:cs="Times"/>
          <w:sz w:val="20"/>
        </w:rPr>
        <w:t xml:space="preserve"> the IAB</w:t>
      </w:r>
      <w:r>
        <w:rPr>
          <w:rFonts w:cs="Times" w:hint="eastAsia"/>
          <w:sz w:val="20"/>
        </w:rPr>
        <w:t xml:space="preserve"> node MT, there are similar conclusions, For example, backhaul link of an IAB node may interfere with access link of the IAB node, and also may interfere wit</w:t>
      </w:r>
      <w:r>
        <w:rPr>
          <w:rFonts w:cs="Times" w:hint="eastAsia"/>
          <w:sz w:val="20"/>
        </w:rPr>
        <w:t>h backhaul link/access link of other IAB nodes.</w:t>
      </w:r>
    </w:p>
    <w:p w:rsidR="00B176DE" w:rsidRDefault="00F73184">
      <w:pPr>
        <w:pStyle w:val="YJ-Proposal"/>
        <w:spacing w:before="120" w:after="120"/>
        <w:rPr>
          <w:lang w:val="en-US" w:eastAsia="zh-CN"/>
        </w:rPr>
      </w:pPr>
      <w:r>
        <w:t xml:space="preserve"> </w:t>
      </w:r>
      <w:bookmarkStart w:id="81" w:name="_Toc17036"/>
      <w:bookmarkStart w:id="82" w:name="_Toc13028"/>
      <w:bookmarkStart w:id="83" w:name="_Toc9490"/>
      <w:bookmarkStart w:id="84" w:name="_Toc2011"/>
      <w:bookmarkStart w:id="85" w:name="_Toc19114"/>
      <w:bookmarkStart w:id="86" w:name="_Toc79164581"/>
      <w:r>
        <w:rPr>
          <w:rFonts w:hint="eastAsia"/>
          <w:lang w:val="en-US" w:eastAsia="zh-CN"/>
        </w:rPr>
        <w:t>It is not necessary to limit the applicability of beam indication to specific multiplexing cases or time-frequency resources</w:t>
      </w:r>
      <w:r>
        <w:t>.</w:t>
      </w:r>
      <w:bookmarkEnd w:id="81"/>
      <w:bookmarkEnd w:id="82"/>
      <w:bookmarkEnd w:id="83"/>
      <w:bookmarkEnd w:id="84"/>
      <w:bookmarkEnd w:id="85"/>
      <w:bookmarkEnd w:id="86"/>
    </w:p>
    <w:p w:rsidR="00B176DE" w:rsidRDefault="00F73184">
      <w:pPr>
        <w:numPr>
          <w:ilvl w:val="255"/>
          <w:numId w:val="0"/>
        </w:numPr>
        <w:spacing w:before="120" w:after="120"/>
        <w:rPr>
          <w:sz w:val="20"/>
        </w:rPr>
      </w:pPr>
      <w:r>
        <w:rPr>
          <w:sz w:val="20"/>
        </w:rPr>
        <w:t>In Rel-16, an IAB node can report to CU the information about the multiplexing ca</w:t>
      </w:r>
      <w:r>
        <w:rPr>
          <w:sz w:val="20"/>
        </w:rPr>
        <w:t>pabilities between the IAB-DU cell and the cells configured on the collocated IAB-MT, such as, an indication of whether the IAB-node supports simultaneous MT-Tx/DU-Tx, simultaneous MT-Rx/DU-Rx, or simultaneous MT-Rx/DU-Tx, simultaneous MT-Tx/DU-Rx. Further</w:t>
      </w:r>
      <w:r>
        <w:rPr>
          <w:sz w:val="20"/>
        </w:rPr>
        <w:t>more, the CU sends the multiplexing capability of the IAB node to its parent node, i.e. the parent node can be made aware of the multiplexing capabilities of IAB node. However, the fact that an IAB node has the capability to operate simultaneously does not</w:t>
      </w:r>
      <w:r>
        <w:rPr>
          <w:sz w:val="20"/>
        </w:rPr>
        <w:t xml:space="preserve"> mean that the IAB node can always perform simultaneous operation. There are some factors, e.g. timing alignment, power control and beams used by IAB-DU and collocated IAB-MT, which can impact the actual simultaneous operation capabilities. Therefore, it i</w:t>
      </w:r>
      <w:r>
        <w:rPr>
          <w:sz w:val="20"/>
        </w:rPr>
        <w:t>s difficult for CU to semi-static control all the IAB-DUs resource availability on spatial-domain due to the time-variant channel conditions.</w:t>
      </w:r>
      <w:r>
        <w:rPr>
          <w:rFonts w:hint="eastAsia"/>
          <w:sz w:val="20"/>
        </w:rPr>
        <w:t xml:space="preserve"> I.e. H/S/NA configuration is not applicable for SDM.</w:t>
      </w:r>
    </w:p>
    <w:p w:rsidR="00B176DE" w:rsidRDefault="00F73184">
      <w:pPr>
        <w:pStyle w:val="YJ-Observation"/>
        <w:spacing w:before="120" w:after="120"/>
        <w:rPr>
          <w:lang w:val="en-US" w:eastAsia="zh-CN"/>
        </w:rPr>
      </w:pPr>
      <w:r>
        <w:t xml:space="preserve"> </w:t>
      </w:r>
      <w:bookmarkStart w:id="87" w:name="_Toc29384"/>
      <w:bookmarkStart w:id="88" w:name="_Toc25365"/>
      <w:bookmarkStart w:id="89" w:name="_Toc11239"/>
      <w:bookmarkStart w:id="90" w:name="_Toc26148"/>
      <w:bookmarkStart w:id="91" w:name="_Toc79164567"/>
      <w:r>
        <w:rPr>
          <w:lang w:val="en-US" w:eastAsia="zh-CN"/>
        </w:rPr>
        <w:t>Semi-static H/S/NA configuration is not applicable for SDM d</w:t>
      </w:r>
      <w:r>
        <w:rPr>
          <w:lang w:val="en-US" w:eastAsia="zh-CN"/>
        </w:rPr>
        <w:t>ue to time-variant channel conditions.</w:t>
      </w:r>
      <w:bookmarkEnd w:id="87"/>
      <w:bookmarkEnd w:id="88"/>
      <w:bookmarkEnd w:id="89"/>
      <w:bookmarkEnd w:id="90"/>
      <w:bookmarkEnd w:id="91"/>
      <w:r>
        <w:rPr>
          <w:lang w:val="en-US" w:eastAsia="zh-CN"/>
        </w:rPr>
        <w:t xml:space="preserve">  </w:t>
      </w:r>
    </w:p>
    <w:p w:rsidR="00B176DE" w:rsidRDefault="00F73184">
      <w:pPr>
        <w:pStyle w:val="YJ-Proposal"/>
        <w:spacing w:before="120" w:after="120"/>
        <w:rPr>
          <w:lang w:val="en-US" w:eastAsia="zh-CN"/>
        </w:rPr>
      </w:pPr>
      <w:r>
        <w:t xml:space="preserve"> </w:t>
      </w:r>
      <w:bookmarkStart w:id="92" w:name="_Toc68678821"/>
      <w:bookmarkStart w:id="93" w:name="_Toc31546"/>
      <w:bookmarkStart w:id="94" w:name="_Toc19990"/>
      <w:bookmarkStart w:id="95" w:name="_Toc21400"/>
      <w:bookmarkStart w:id="96" w:name="_Toc10500"/>
      <w:bookmarkStart w:id="97" w:name="_Toc3934"/>
      <w:bookmarkStart w:id="98" w:name="_Toc29421"/>
      <w:bookmarkStart w:id="99" w:name="_Toc9841"/>
      <w:bookmarkStart w:id="100" w:name="_Toc9195"/>
      <w:bookmarkStart w:id="101" w:name="_Toc31539"/>
      <w:bookmarkStart w:id="102" w:name="_Toc79164582"/>
      <w:r>
        <w:rPr>
          <w:rFonts w:hint="eastAsia"/>
          <w:lang w:val="en-US" w:eastAsia="zh-CN"/>
        </w:rPr>
        <w:t>H/S/NA configuration per beam (i.e. additional s</w:t>
      </w:r>
      <w:r>
        <w:rPr>
          <w:lang w:val="en-US" w:eastAsia="zh-CN"/>
        </w:rPr>
        <w:t xml:space="preserve">emi-static configuration </w:t>
      </w:r>
      <w:r>
        <w:rPr>
          <w:rFonts w:hint="eastAsia"/>
          <w:lang w:val="en-US" w:eastAsia="zh-CN"/>
        </w:rPr>
        <w:t xml:space="preserve">signaling) </w:t>
      </w:r>
      <w:r>
        <w:t>is not supported.</w:t>
      </w:r>
      <w:bookmarkEnd w:id="92"/>
      <w:bookmarkEnd w:id="93"/>
      <w:bookmarkEnd w:id="94"/>
      <w:bookmarkEnd w:id="95"/>
      <w:bookmarkEnd w:id="96"/>
      <w:bookmarkEnd w:id="97"/>
      <w:bookmarkEnd w:id="98"/>
      <w:bookmarkEnd w:id="99"/>
      <w:bookmarkEnd w:id="100"/>
      <w:bookmarkEnd w:id="101"/>
      <w:bookmarkEnd w:id="102"/>
    </w:p>
    <w:p w:rsidR="00B176DE" w:rsidRDefault="00F73184">
      <w:pPr>
        <w:spacing w:before="120" w:after="120"/>
        <w:rPr>
          <w:sz w:val="20"/>
        </w:rPr>
      </w:pPr>
      <w:bookmarkStart w:id="103" w:name="_Toc8984"/>
      <w:bookmarkStart w:id="104" w:name="_Toc10070"/>
      <w:bookmarkStart w:id="105" w:name="_Toc32262"/>
      <w:r>
        <w:rPr>
          <w:sz w:val="20"/>
        </w:rPr>
        <w:t>In our understanding, different panels can be distinguished by different beams, i.e. the granularity per-beam is</w:t>
      </w:r>
      <w:r>
        <w:rPr>
          <w:sz w:val="20"/>
        </w:rPr>
        <w:t xml:space="preserve"> finer than per-panel. Therefore, it is sufficient that per-beam resource management </w:t>
      </w:r>
      <w:r>
        <w:rPr>
          <w:rFonts w:hint="eastAsia"/>
          <w:sz w:val="20"/>
        </w:rPr>
        <w:t xml:space="preserve">is supported </w:t>
      </w:r>
      <w:r>
        <w:rPr>
          <w:sz w:val="20"/>
        </w:rPr>
        <w:t>in spatial domain.</w:t>
      </w:r>
      <w:bookmarkEnd w:id="103"/>
      <w:bookmarkEnd w:id="104"/>
      <w:bookmarkEnd w:id="105"/>
    </w:p>
    <w:p w:rsidR="00B176DE" w:rsidRDefault="00F73184">
      <w:pPr>
        <w:pStyle w:val="YJ-Proposal"/>
        <w:spacing w:before="120" w:after="120"/>
        <w:rPr>
          <w:lang w:val="en-US" w:eastAsia="zh-CN"/>
        </w:rPr>
      </w:pPr>
      <w:r>
        <w:t xml:space="preserve"> </w:t>
      </w:r>
      <w:bookmarkStart w:id="106" w:name="_Toc6196"/>
      <w:bookmarkStart w:id="107" w:name="_Toc30783"/>
      <w:bookmarkStart w:id="108" w:name="_Toc28818"/>
      <w:bookmarkStart w:id="109" w:name="_Toc23816"/>
      <w:bookmarkStart w:id="110" w:name="_Toc21607"/>
      <w:bookmarkStart w:id="111" w:name="_Toc79164583"/>
      <w:r>
        <w:t xml:space="preserve">Per-panel granularity </w:t>
      </w:r>
      <w:r>
        <w:rPr>
          <w:rFonts w:hint="eastAsia"/>
          <w:lang w:val="en-US" w:eastAsia="zh-CN"/>
        </w:rPr>
        <w:t xml:space="preserve">for </w:t>
      </w:r>
      <w:r>
        <w:t xml:space="preserve">resource </w:t>
      </w:r>
      <w:r>
        <w:rPr>
          <w:rFonts w:hint="eastAsia"/>
          <w:lang w:val="en-US" w:eastAsia="zh-CN"/>
        </w:rPr>
        <w:t xml:space="preserve">management </w:t>
      </w:r>
      <w:r>
        <w:t>in the spatial domain</w:t>
      </w:r>
      <w:r>
        <w:rPr>
          <w:rFonts w:hint="eastAsia"/>
          <w:lang w:val="en-US" w:eastAsia="zh-CN"/>
        </w:rPr>
        <w:t xml:space="preserve"> </w:t>
      </w:r>
      <w:r>
        <w:rPr>
          <w:rFonts w:hint="eastAsia"/>
          <w:lang w:val="en-US" w:eastAsia="zh-CN"/>
        </w:rPr>
        <w:t>is not supported</w:t>
      </w:r>
      <w:r>
        <w:t>.</w:t>
      </w:r>
      <w:bookmarkEnd w:id="106"/>
      <w:bookmarkEnd w:id="107"/>
      <w:bookmarkEnd w:id="108"/>
      <w:bookmarkEnd w:id="109"/>
      <w:bookmarkEnd w:id="110"/>
      <w:bookmarkEnd w:id="111"/>
    </w:p>
    <w:p w:rsidR="00B176DE" w:rsidRDefault="00F73184">
      <w:pPr>
        <w:spacing w:before="120" w:after="120"/>
        <w:rPr>
          <w:sz w:val="20"/>
        </w:rPr>
      </w:pPr>
      <w:bookmarkStart w:id="112" w:name="_Toc11428"/>
      <w:bookmarkStart w:id="113" w:name="_Toc6245"/>
      <w:bookmarkStart w:id="114" w:name="_Toc17703"/>
      <w:r>
        <w:rPr>
          <w:sz w:val="20"/>
        </w:rPr>
        <w:t>For r</w:t>
      </w:r>
      <w:r>
        <w:rPr>
          <w:sz w:val="20"/>
        </w:rPr>
        <w:t>elationship between child IAB-MT beam indicatio</w:t>
      </w:r>
      <w:r>
        <w:rPr>
          <w:sz w:val="20"/>
        </w:rPr>
        <w:t>n and parent IAB-DU beam indication</w:t>
      </w:r>
      <w:r>
        <w:rPr>
          <w:sz w:val="20"/>
        </w:rPr>
        <w:t>, it is obvious that child IAB-MT beam indication is used to report beam restrictions for the MT of an IAB node, and parent IAB-DU beam indication is used to indicate beam restrictions for the DU of an IAB node. I.e. diff</w:t>
      </w:r>
      <w:r>
        <w:rPr>
          <w:sz w:val="20"/>
        </w:rPr>
        <w:t>erent beam indications are applied to different links, i.e. backhaul link and access link of an IAB node, to manage resources in spatial domain.</w:t>
      </w:r>
      <w:bookmarkEnd w:id="112"/>
      <w:bookmarkEnd w:id="113"/>
      <w:bookmarkEnd w:id="114"/>
    </w:p>
    <w:p w:rsidR="00B176DE" w:rsidRDefault="00F73184">
      <w:pPr>
        <w:pStyle w:val="YJ-Proposal"/>
        <w:spacing w:before="120" w:after="120"/>
        <w:rPr>
          <w:lang w:val="en-US" w:eastAsia="zh-CN"/>
        </w:rPr>
      </w:pPr>
      <w:bookmarkStart w:id="115" w:name="_Toc22309"/>
      <w:bookmarkStart w:id="116" w:name="_Toc18032"/>
      <w:bookmarkStart w:id="117" w:name="_Toc16804"/>
      <w:bookmarkStart w:id="118" w:name="_Toc11761"/>
      <w:bookmarkStart w:id="119" w:name="_Toc19927"/>
      <w:bookmarkStart w:id="120" w:name="_Toc79164584"/>
      <w:r>
        <w:rPr>
          <w:rFonts w:hint="eastAsia"/>
          <w:lang w:val="en-US" w:eastAsia="zh-CN"/>
        </w:rPr>
        <w:t>Different beam indications</w:t>
      </w:r>
      <w:r w:rsidR="00036EC9">
        <w:rPr>
          <w:rFonts w:hint="eastAsia"/>
          <w:lang w:val="en-US" w:eastAsia="zh-CN"/>
        </w:rPr>
        <w:t xml:space="preserve"> </w:t>
      </w:r>
      <w:r>
        <w:rPr>
          <w:rFonts w:hint="eastAsia"/>
          <w:lang w:val="en-US" w:eastAsia="zh-CN"/>
        </w:rPr>
        <w:t xml:space="preserve">(i.e. </w:t>
      </w:r>
      <w:r>
        <w:rPr>
          <w:rFonts w:cs="Times"/>
        </w:rPr>
        <w:t>child IAB-MT beam indication and parent IAB-DU beam indication</w:t>
      </w:r>
      <w:r>
        <w:rPr>
          <w:rFonts w:hint="eastAsia"/>
          <w:lang w:val="en-US" w:eastAsia="zh-CN"/>
        </w:rPr>
        <w:t xml:space="preserve">) are applied to </w:t>
      </w:r>
      <w:r>
        <w:rPr>
          <w:rFonts w:hint="eastAsia"/>
          <w:lang w:val="en-US" w:eastAsia="zh-CN"/>
        </w:rPr>
        <w:t>different links, i.e. backhaul link and access link of an IAB node.</w:t>
      </w:r>
      <w:bookmarkEnd w:id="115"/>
      <w:bookmarkEnd w:id="116"/>
      <w:bookmarkEnd w:id="117"/>
      <w:bookmarkEnd w:id="118"/>
      <w:bookmarkEnd w:id="119"/>
      <w:bookmarkEnd w:id="120"/>
    </w:p>
    <w:p w:rsidR="00B176DE" w:rsidRDefault="00F73184">
      <w:pPr>
        <w:pStyle w:val="2"/>
        <w:spacing w:before="120" w:after="120"/>
        <w:ind w:left="991" w:right="210" w:hangingChars="354" w:hanging="991"/>
        <w:rPr>
          <w:rFonts w:cs="Arial"/>
          <w:szCs w:val="28"/>
        </w:rPr>
      </w:pPr>
      <w:r>
        <w:rPr>
          <w:rFonts w:eastAsia="宋体" w:cs="Arial" w:hint="eastAsia"/>
          <w:szCs w:val="28"/>
        </w:rPr>
        <w:t>Guard symbols and guard band</w:t>
      </w:r>
    </w:p>
    <w:p w:rsidR="00B176DE" w:rsidRDefault="00F73184">
      <w:pPr>
        <w:spacing w:before="120" w:after="120"/>
        <w:rPr>
          <w:sz w:val="20"/>
        </w:rPr>
      </w:pPr>
      <w:r>
        <w:rPr>
          <w:sz w:val="20"/>
        </w:rPr>
        <w:t>The following agreements have been made in RAN1#10</w:t>
      </w:r>
      <w:r>
        <w:rPr>
          <w:rFonts w:hint="eastAsia"/>
          <w:sz w:val="20"/>
        </w:rPr>
        <w:t>5</w:t>
      </w:r>
      <w:r>
        <w:rPr>
          <w:sz w:val="20"/>
        </w:rPr>
        <w:t xml:space="preserve">-e on </w:t>
      </w:r>
      <w:r>
        <w:rPr>
          <w:rFonts w:hint="eastAsia"/>
          <w:sz w:val="20"/>
        </w:rPr>
        <w:t>guard symbols and guard band</w:t>
      </w:r>
      <w:r w:rsidR="00036EC9">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B176DE">
        <w:trPr>
          <w:trHeight w:val="1120"/>
        </w:trPr>
        <w:tc>
          <w:tcPr>
            <w:tcW w:w="9876" w:type="dxa"/>
          </w:tcPr>
          <w:p w:rsidR="00B176DE" w:rsidRDefault="00F73184">
            <w:pPr>
              <w:spacing w:before="120" w:after="120"/>
              <w:rPr>
                <w:rFonts w:cs="Times"/>
                <w:sz w:val="20"/>
              </w:rPr>
            </w:pPr>
            <w:r>
              <w:rPr>
                <w:rFonts w:cs="Times"/>
                <w:b/>
                <w:bCs/>
                <w:color w:val="000000"/>
                <w:sz w:val="20"/>
                <w:highlight w:val="green"/>
                <w:shd w:val="clear" w:color="auto" w:fill="FFFF00"/>
              </w:rPr>
              <w:t>Agreement</w:t>
            </w:r>
          </w:p>
          <w:p w:rsidR="00B176DE" w:rsidRDefault="00F73184">
            <w:pPr>
              <w:spacing w:before="120" w:after="120"/>
              <w:rPr>
                <w:rFonts w:cs="Times"/>
                <w:sz w:val="20"/>
              </w:rPr>
            </w:pPr>
            <w:r>
              <w:rPr>
                <w:rFonts w:cs="Times"/>
                <w:sz w:val="20"/>
              </w:rPr>
              <w:t xml:space="preserve">The parent IAB-node is dynamically provided with </w:t>
            </w:r>
            <w:r>
              <w:rPr>
                <w:rFonts w:cs="Times"/>
                <w:sz w:val="20"/>
              </w:rPr>
              <w:t>conditions/parameters to facilitate adaptation between multiplexing operation modes:</w:t>
            </w:r>
          </w:p>
          <w:p w:rsidR="00B176DE" w:rsidRDefault="00F73184">
            <w:pPr>
              <w:pStyle w:val="af0"/>
              <w:numPr>
                <w:ilvl w:val="0"/>
                <w:numId w:val="12"/>
              </w:numPr>
              <w:overflowPunct w:val="0"/>
              <w:autoSpaceDE w:val="0"/>
              <w:autoSpaceDN w:val="0"/>
              <w:adjustRightInd w:val="0"/>
              <w:spacing w:after="120"/>
              <w:textAlignment w:val="baseline"/>
              <w:rPr>
                <w:rFonts w:cs="Times"/>
                <w:sz w:val="20"/>
                <w:szCs w:val="20"/>
              </w:rPr>
            </w:pPr>
            <w:r>
              <w:rPr>
                <w:rFonts w:cs="Times"/>
                <w:sz w:val="20"/>
                <w:szCs w:val="20"/>
              </w:rPr>
              <w:t>FFS: Required number of guard symbols for switching of multiplexing mode (FFS: per timing mode or per multiplexing mode) for IAB-DU</w:t>
            </w:r>
          </w:p>
          <w:p w:rsidR="00B176DE" w:rsidRDefault="00F73184">
            <w:pPr>
              <w:pStyle w:val="af0"/>
              <w:numPr>
                <w:ilvl w:val="0"/>
                <w:numId w:val="12"/>
              </w:numPr>
              <w:overflowPunct w:val="0"/>
              <w:autoSpaceDE w:val="0"/>
              <w:autoSpaceDN w:val="0"/>
              <w:adjustRightInd w:val="0"/>
              <w:spacing w:after="120"/>
              <w:textAlignment w:val="baseline"/>
              <w:rPr>
                <w:rFonts w:cs="Times"/>
                <w:sz w:val="20"/>
                <w:szCs w:val="20"/>
              </w:rPr>
            </w:pPr>
            <w:r>
              <w:rPr>
                <w:rFonts w:cs="Times"/>
                <w:sz w:val="20"/>
                <w:szCs w:val="20"/>
              </w:rPr>
              <w:t>FFS: Signalling procedure</w:t>
            </w:r>
          </w:p>
          <w:p w:rsidR="00B176DE" w:rsidRDefault="00F73184">
            <w:pPr>
              <w:pStyle w:val="af0"/>
              <w:numPr>
                <w:ilvl w:val="0"/>
                <w:numId w:val="12"/>
              </w:numPr>
              <w:spacing w:after="120"/>
              <w:rPr>
                <w:rFonts w:cs="Times"/>
                <w:sz w:val="20"/>
                <w:szCs w:val="20"/>
              </w:rPr>
            </w:pPr>
            <w:r>
              <w:rPr>
                <w:rFonts w:cs="Times"/>
                <w:sz w:val="20"/>
                <w:szCs w:val="20"/>
              </w:rPr>
              <w:t>FFS: Required</w:t>
            </w:r>
            <w:r>
              <w:rPr>
                <w:rFonts w:cs="Times"/>
                <w:sz w:val="20"/>
                <w:szCs w:val="20"/>
              </w:rPr>
              <w:t xml:space="preserve"> guard band for FDM</w:t>
            </w:r>
          </w:p>
          <w:p w:rsidR="00B176DE" w:rsidRDefault="00F73184">
            <w:pPr>
              <w:pStyle w:val="af0"/>
              <w:numPr>
                <w:ilvl w:val="0"/>
                <w:numId w:val="12"/>
              </w:numPr>
              <w:spacing w:after="120"/>
              <w:rPr>
                <w:rFonts w:cs="Times"/>
                <w:sz w:val="20"/>
                <w:szCs w:val="20"/>
              </w:rPr>
            </w:pPr>
            <w:r>
              <w:rPr>
                <w:rFonts w:cs="Times"/>
                <w:sz w:val="20"/>
                <w:szCs w:val="20"/>
              </w:rPr>
              <w:t>FFS: other conditions, e.g. required timing mode, required power control parameters, and preferred TCI.</w:t>
            </w:r>
          </w:p>
          <w:p w:rsidR="00B176DE" w:rsidRDefault="00B176DE">
            <w:pPr>
              <w:spacing w:before="120" w:after="120"/>
              <w:rPr>
                <w:sz w:val="20"/>
              </w:rPr>
            </w:pPr>
          </w:p>
        </w:tc>
      </w:tr>
    </w:tbl>
    <w:p w:rsidR="00B176DE" w:rsidRDefault="00B176DE">
      <w:pPr>
        <w:spacing w:before="120" w:after="120"/>
        <w:rPr>
          <w:sz w:val="20"/>
        </w:rPr>
      </w:pPr>
    </w:p>
    <w:p w:rsidR="00B176DE" w:rsidRDefault="00F73184">
      <w:pPr>
        <w:spacing w:before="120" w:after="120"/>
        <w:rPr>
          <w:sz w:val="20"/>
        </w:rPr>
      </w:pPr>
      <w:bookmarkStart w:id="121" w:name="_Toc31335"/>
      <w:r>
        <w:rPr>
          <w:rFonts w:hint="eastAsia"/>
          <w:sz w:val="20"/>
        </w:rPr>
        <w:t>For</w:t>
      </w:r>
      <w:r>
        <w:rPr>
          <w:sz w:val="20"/>
        </w:rPr>
        <w:t xml:space="preserve"> an IAB node, there are 4 </w:t>
      </w:r>
      <w:r>
        <w:rPr>
          <w:rFonts w:hint="eastAsia"/>
          <w:sz w:val="20"/>
        </w:rPr>
        <w:t xml:space="preserve">Tx/Rx </w:t>
      </w:r>
      <w:r>
        <w:rPr>
          <w:sz w:val="20"/>
        </w:rPr>
        <w:t>timings as follows:</w:t>
      </w:r>
      <w:bookmarkEnd w:id="121"/>
    </w:p>
    <w:p w:rsidR="00B176DE" w:rsidRDefault="00F73184">
      <w:pPr>
        <w:numPr>
          <w:ilvl w:val="0"/>
          <w:numId w:val="13"/>
        </w:numPr>
        <w:spacing w:before="120" w:after="120"/>
        <w:rPr>
          <w:sz w:val="20"/>
        </w:rPr>
      </w:pPr>
      <w:bookmarkStart w:id="122" w:name="_Toc24507"/>
      <w:r>
        <w:rPr>
          <w:sz w:val="20"/>
        </w:rPr>
        <w:t xml:space="preserve">MT Rx timing </w:t>
      </w:r>
      <w:r>
        <w:rPr>
          <w:rFonts w:hint="eastAsia"/>
          <w:sz w:val="20"/>
        </w:rPr>
        <w:t>(</w:t>
      </w:r>
      <w:r>
        <w:rPr>
          <w:sz w:val="20"/>
        </w:rPr>
        <w:t>DRT</w:t>
      </w:r>
      <w:r>
        <w:rPr>
          <w:rFonts w:hint="eastAsia"/>
          <w:sz w:val="20"/>
        </w:rPr>
        <w:t>)</w:t>
      </w:r>
      <w:bookmarkEnd w:id="122"/>
    </w:p>
    <w:p w:rsidR="00B176DE" w:rsidRDefault="00F73184">
      <w:pPr>
        <w:numPr>
          <w:ilvl w:val="0"/>
          <w:numId w:val="13"/>
        </w:numPr>
        <w:spacing w:before="120" w:after="120"/>
        <w:rPr>
          <w:sz w:val="20"/>
        </w:rPr>
      </w:pPr>
      <w:bookmarkStart w:id="123" w:name="_Toc29190"/>
      <w:r>
        <w:rPr>
          <w:sz w:val="20"/>
        </w:rPr>
        <w:t>MT Tx timing(UTT)</w:t>
      </w:r>
      <w:bookmarkEnd w:id="123"/>
    </w:p>
    <w:p w:rsidR="00B176DE" w:rsidRDefault="00F73184">
      <w:pPr>
        <w:numPr>
          <w:ilvl w:val="0"/>
          <w:numId w:val="13"/>
        </w:numPr>
        <w:spacing w:before="120" w:after="120"/>
        <w:rPr>
          <w:sz w:val="20"/>
        </w:rPr>
      </w:pPr>
      <w:bookmarkStart w:id="124" w:name="_Toc25218"/>
      <w:r>
        <w:rPr>
          <w:sz w:val="20"/>
        </w:rPr>
        <w:t>DU Tx timing(DTT)</w:t>
      </w:r>
      <w:bookmarkEnd w:id="124"/>
    </w:p>
    <w:p w:rsidR="00B176DE" w:rsidRDefault="00F73184">
      <w:pPr>
        <w:numPr>
          <w:ilvl w:val="0"/>
          <w:numId w:val="13"/>
        </w:numPr>
        <w:spacing w:before="120" w:after="120"/>
        <w:rPr>
          <w:sz w:val="20"/>
        </w:rPr>
      </w:pPr>
      <w:bookmarkStart w:id="125" w:name="_Toc4195"/>
      <w:r>
        <w:rPr>
          <w:sz w:val="20"/>
        </w:rPr>
        <w:t>DU Rx timing(URT)</w:t>
      </w:r>
      <w:bookmarkEnd w:id="125"/>
    </w:p>
    <w:p w:rsidR="00B176DE" w:rsidRDefault="00F73184">
      <w:pPr>
        <w:spacing w:before="120" w:after="120"/>
        <w:rPr>
          <w:sz w:val="20"/>
        </w:rPr>
      </w:pPr>
      <w:bookmarkStart w:id="126" w:name="_Toc26738"/>
      <w:r>
        <w:rPr>
          <w:sz w:val="20"/>
        </w:rPr>
        <w:t>D</w:t>
      </w:r>
      <w:r>
        <w:rPr>
          <w:sz w:val="20"/>
        </w:rPr>
        <w:t>RT depends on propagation delay between parent node and IAB node, and does not change with multiplexing modes (TDM/FDM/SDM) at IAB node and/or its parent node;</w:t>
      </w:r>
      <w:bookmarkEnd w:id="126"/>
    </w:p>
    <w:p w:rsidR="00B176DE" w:rsidRDefault="00F73184">
      <w:pPr>
        <w:spacing w:before="120" w:after="120"/>
        <w:rPr>
          <w:sz w:val="20"/>
        </w:rPr>
      </w:pPr>
      <w:bookmarkStart w:id="127" w:name="_Toc23579"/>
      <w:r>
        <w:rPr>
          <w:sz w:val="20"/>
        </w:rPr>
        <w:t>DTT depends on TA and Tdelta provided by the parent node, and also does not change with multiple</w:t>
      </w:r>
      <w:r>
        <w:rPr>
          <w:sz w:val="20"/>
        </w:rPr>
        <w:t>xing modes (TDM/FDM/SDM) at IAB node and/or its parent node;</w:t>
      </w:r>
      <w:bookmarkEnd w:id="127"/>
    </w:p>
    <w:p w:rsidR="00B176DE" w:rsidRDefault="00F73184">
      <w:pPr>
        <w:spacing w:before="120" w:after="120"/>
        <w:rPr>
          <w:sz w:val="20"/>
        </w:rPr>
      </w:pPr>
      <w:bookmarkStart w:id="128" w:name="_Toc27345"/>
      <w:r>
        <w:rPr>
          <w:sz w:val="20"/>
        </w:rPr>
        <w:t>UTT usually depends on multiplexing modes at IAB node and/or its parent node, such as whether or not simultaneous operation (e.g. case#7 timing) is performed at parent node, whether or not simult</w:t>
      </w:r>
      <w:r>
        <w:rPr>
          <w:sz w:val="20"/>
        </w:rPr>
        <w:t>aneous operation (e.g. case#6 timing or case#7 timing) is performed at IAB node;</w:t>
      </w:r>
      <w:bookmarkEnd w:id="128"/>
    </w:p>
    <w:p w:rsidR="00B176DE" w:rsidRDefault="00F73184">
      <w:pPr>
        <w:spacing w:before="120" w:after="120"/>
        <w:rPr>
          <w:sz w:val="20"/>
        </w:rPr>
      </w:pPr>
      <w:bookmarkStart w:id="129" w:name="_Toc10769"/>
      <w:r>
        <w:rPr>
          <w:sz w:val="20"/>
        </w:rPr>
        <w:t>URT usually depends on multiplexing modes at IAB node and/or its child node.</w:t>
      </w:r>
      <w:bookmarkEnd w:id="129"/>
      <w:r>
        <w:rPr>
          <w:sz w:val="20"/>
        </w:rPr>
        <w:t xml:space="preserve"> </w:t>
      </w:r>
    </w:p>
    <w:p w:rsidR="00B176DE" w:rsidRDefault="00F73184">
      <w:pPr>
        <w:spacing w:before="120" w:after="120"/>
        <w:rPr>
          <w:sz w:val="20"/>
        </w:rPr>
      </w:pPr>
      <w:bookmarkStart w:id="130" w:name="_Toc28889"/>
      <w:r>
        <w:rPr>
          <w:rFonts w:hint="eastAsia"/>
          <w:sz w:val="20"/>
        </w:rPr>
        <w:t xml:space="preserve">Based on above analysis, </w:t>
      </w:r>
      <w:r>
        <w:rPr>
          <w:sz w:val="20"/>
        </w:rPr>
        <w:t>only UTT and URT</w:t>
      </w:r>
      <w:r>
        <w:rPr>
          <w:rFonts w:hint="eastAsia"/>
          <w:sz w:val="20"/>
        </w:rPr>
        <w:t xml:space="preserve"> </w:t>
      </w:r>
      <w:r>
        <w:rPr>
          <w:sz w:val="20"/>
        </w:rPr>
        <w:t>depends on multiplexing modes.</w:t>
      </w:r>
      <w:r>
        <w:rPr>
          <w:rFonts w:hint="eastAsia"/>
          <w:sz w:val="20"/>
        </w:rPr>
        <w:t xml:space="preserve"> For the change of the number of guard symbols caused only by the change of UTT which depends on mul</w:t>
      </w:r>
      <w:r>
        <w:rPr>
          <w:sz w:val="20"/>
        </w:rPr>
        <w:t>tiplexing modes at IAB node and/or its parent node</w:t>
      </w:r>
      <w:r>
        <w:rPr>
          <w:rFonts w:hint="eastAsia"/>
          <w:sz w:val="20"/>
        </w:rPr>
        <w:t xml:space="preserve">, the Rel-16 mechanism can be reused, and the parent node can adjust the number of guard symbols actually </w:t>
      </w:r>
      <w:r>
        <w:rPr>
          <w:rFonts w:hint="eastAsia"/>
          <w:sz w:val="20"/>
        </w:rPr>
        <w:t>reserved according to the difference of different UTTs. Considering URT of an IAB node depends not only on the multiplexing mode of IAB node, but also on multiplexing mode of child node of IAB node. Parent node do not know when case#7 timing is performed b</w:t>
      </w:r>
      <w:r>
        <w:rPr>
          <w:rFonts w:hint="eastAsia"/>
          <w:sz w:val="20"/>
        </w:rPr>
        <w:t>y IAB node, and also do not know what multiplexing mode is used by child node of IAB node, and also do not know which child node is scheduled by the IAB node. Therefore, the number of guard symbols reserved by the parent node of IAB node is difficult to ma</w:t>
      </w:r>
      <w:r>
        <w:rPr>
          <w:rFonts w:hint="eastAsia"/>
          <w:sz w:val="20"/>
        </w:rPr>
        <w:t>tch with the actual URT. A simple way is that the Rel-16 mechanism can be reused, and the number of guard symbols actually reserved depends on the implementation of the IAB node. For example, if three guard symbols need to be reserved according to URT, but</w:t>
      </w:r>
      <w:r>
        <w:rPr>
          <w:rFonts w:hint="eastAsia"/>
          <w:sz w:val="20"/>
        </w:rPr>
        <w:t xml:space="preserve"> only two guard symbols are reserved by the parent node, the IAB node can reserve another one guard symbol to avoid resource conflict between IAB node MT and DU.</w:t>
      </w:r>
      <w:bookmarkEnd w:id="130"/>
      <w:r>
        <w:rPr>
          <w:rFonts w:hint="eastAsia"/>
          <w:sz w:val="20"/>
        </w:rPr>
        <w:t xml:space="preserve"> </w:t>
      </w:r>
    </w:p>
    <w:p w:rsidR="00B176DE" w:rsidRDefault="00F73184">
      <w:pPr>
        <w:spacing w:before="120" w:after="120"/>
        <w:rPr>
          <w:sz w:val="20"/>
        </w:rPr>
      </w:pPr>
      <w:bookmarkStart w:id="131" w:name="_Toc31443"/>
      <w:r>
        <w:rPr>
          <w:rFonts w:hint="eastAsia"/>
          <w:sz w:val="20"/>
        </w:rPr>
        <w:t xml:space="preserve">In our view, it is difficult to achieve the desired effect by enhancing Rel-16 guard symbols </w:t>
      </w:r>
      <w:r>
        <w:rPr>
          <w:rFonts w:hint="eastAsia"/>
          <w:sz w:val="20"/>
        </w:rPr>
        <w:t>scheme.</w:t>
      </w:r>
      <w:bookmarkEnd w:id="131"/>
      <w:r>
        <w:rPr>
          <w:rFonts w:hint="eastAsia"/>
          <w:sz w:val="20"/>
        </w:rPr>
        <w:t xml:space="preserve"> </w:t>
      </w:r>
    </w:p>
    <w:p w:rsidR="00B176DE" w:rsidRPr="00036EC9" w:rsidRDefault="00F73184" w:rsidP="00036EC9">
      <w:pPr>
        <w:pStyle w:val="YJ-Proposal"/>
        <w:spacing w:before="120" w:after="120"/>
        <w:rPr>
          <w:rFonts w:hint="eastAsia"/>
          <w:lang w:val="en-US" w:eastAsia="zh-CN"/>
        </w:rPr>
      </w:pPr>
      <w:bookmarkStart w:id="132" w:name="_Toc17136"/>
      <w:bookmarkStart w:id="133" w:name="_Toc30175"/>
      <w:bookmarkStart w:id="134" w:name="_Toc15560"/>
      <w:bookmarkStart w:id="135" w:name="_Toc6652"/>
      <w:bookmarkStart w:id="136" w:name="_Toc15906"/>
      <w:bookmarkStart w:id="137" w:name="_Toc79164585"/>
      <w:r>
        <w:rPr>
          <w:rFonts w:cs="Times" w:hint="eastAsia"/>
          <w:lang w:val="en-US" w:eastAsia="zh-CN"/>
        </w:rPr>
        <w:t>Rel-16 g</w:t>
      </w:r>
      <w:r w:rsidRPr="00036EC9">
        <w:rPr>
          <w:rFonts w:cs="Times"/>
          <w:lang w:val="en-US" w:eastAsia="zh-CN"/>
        </w:rPr>
        <w:t>uard symbols</w:t>
      </w:r>
      <w:r>
        <w:rPr>
          <w:rFonts w:cs="Times" w:hint="eastAsia"/>
          <w:lang w:val="en-US" w:eastAsia="zh-CN"/>
        </w:rPr>
        <w:t xml:space="preserve"> mechanism is reused in Rel-17 IAB</w:t>
      </w:r>
      <w:r>
        <w:rPr>
          <w:rFonts w:hint="eastAsia"/>
          <w:lang w:val="en-US" w:eastAsia="zh-CN"/>
        </w:rPr>
        <w:t>.</w:t>
      </w:r>
      <w:bookmarkEnd w:id="132"/>
      <w:bookmarkEnd w:id="133"/>
      <w:bookmarkEnd w:id="134"/>
      <w:bookmarkEnd w:id="135"/>
      <w:bookmarkEnd w:id="136"/>
      <w:bookmarkEnd w:id="137"/>
    </w:p>
    <w:p w:rsidR="00B176DE" w:rsidRDefault="00F73184">
      <w:pPr>
        <w:spacing w:before="120" w:after="120"/>
        <w:rPr>
          <w:sz w:val="20"/>
        </w:rPr>
      </w:pPr>
      <w:bookmarkStart w:id="138" w:name="_Toc7151"/>
      <w:r>
        <w:rPr>
          <w:rFonts w:hint="eastAsia"/>
          <w:sz w:val="20"/>
        </w:rPr>
        <w:t>T</w:t>
      </w:r>
      <w:r>
        <w:rPr>
          <w:rFonts w:hint="eastAsia"/>
          <w:sz w:val="20"/>
        </w:rPr>
        <w:t>he guard band can be left to IAB node DU implementation, e.g., IAB node DU can reserve guard tones according to how IAB node MT</w:t>
      </w:r>
      <w:r>
        <w:rPr>
          <w:sz w:val="20"/>
        </w:rPr>
        <w:t>’</w:t>
      </w:r>
      <w:r>
        <w:rPr>
          <w:rFonts w:hint="eastAsia"/>
          <w:sz w:val="20"/>
        </w:rPr>
        <w:t>s resources are configured/scheduled.</w:t>
      </w:r>
      <w:bookmarkEnd w:id="138"/>
    </w:p>
    <w:p w:rsidR="00B176DE" w:rsidRDefault="00F73184">
      <w:pPr>
        <w:pStyle w:val="YJ-Proposal"/>
        <w:spacing w:before="120" w:after="120"/>
        <w:rPr>
          <w:lang w:val="en-US" w:eastAsia="zh-CN"/>
        </w:rPr>
      </w:pPr>
      <w:bookmarkStart w:id="139" w:name="_Toc26885"/>
      <w:bookmarkStart w:id="140" w:name="_Toc21558"/>
      <w:bookmarkStart w:id="141" w:name="_Toc32239"/>
      <w:bookmarkStart w:id="142" w:name="_Toc27219"/>
      <w:bookmarkStart w:id="143" w:name="_Toc24311"/>
      <w:bookmarkStart w:id="144" w:name="_Toc79164586"/>
      <w:r>
        <w:rPr>
          <w:rFonts w:cs="Times" w:hint="eastAsia"/>
          <w:lang w:val="en-US" w:eastAsia="zh-CN"/>
        </w:rPr>
        <w:t>G</w:t>
      </w:r>
      <w:r>
        <w:rPr>
          <w:rFonts w:cs="Times"/>
        </w:rPr>
        <w:t xml:space="preserve">uard </w:t>
      </w:r>
      <w:r>
        <w:rPr>
          <w:rFonts w:cs="Times" w:hint="eastAsia"/>
          <w:lang w:val="en-US" w:eastAsia="zh-CN"/>
        </w:rPr>
        <w:t xml:space="preserve">band for FDM </w:t>
      </w:r>
      <w:r>
        <w:rPr>
          <w:rFonts w:cs="Times" w:hint="eastAsia"/>
          <w:lang w:val="en-US" w:eastAsia="zh-CN"/>
        </w:rPr>
        <w:t>between backhaul link and access link at an IAB node depends on implementation</w:t>
      </w:r>
      <w:r>
        <w:rPr>
          <w:rFonts w:hint="eastAsia"/>
          <w:lang w:val="en-US" w:eastAsia="zh-CN"/>
        </w:rPr>
        <w:t>.</w:t>
      </w:r>
      <w:bookmarkEnd w:id="139"/>
      <w:bookmarkEnd w:id="140"/>
      <w:bookmarkEnd w:id="141"/>
      <w:bookmarkEnd w:id="142"/>
      <w:bookmarkEnd w:id="143"/>
      <w:bookmarkEnd w:id="144"/>
    </w:p>
    <w:p w:rsidR="00B176DE" w:rsidRDefault="00B176DE">
      <w:pPr>
        <w:pStyle w:val="YJ-Proposal"/>
        <w:numPr>
          <w:ilvl w:val="0"/>
          <w:numId w:val="0"/>
        </w:numPr>
        <w:spacing w:before="120" w:after="120"/>
        <w:rPr>
          <w:lang w:val="en-US" w:eastAsia="zh-CN"/>
        </w:rPr>
      </w:pPr>
    </w:p>
    <w:p w:rsidR="00B176DE" w:rsidRDefault="00F73184">
      <w:pPr>
        <w:pStyle w:val="2"/>
        <w:spacing w:before="120" w:after="120"/>
        <w:ind w:left="991" w:right="210" w:hangingChars="354" w:hanging="991"/>
        <w:rPr>
          <w:rFonts w:cs="Arial"/>
          <w:szCs w:val="28"/>
        </w:rPr>
      </w:pPr>
      <w:r>
        <w:rPr>
          <w:rFonts w:cs="Arial"/>
          <w:szCs w:val="28"/>
        </w:rPr>
        <w:t>Dual connectivity</w:t>
      </w:r>
    </w:p>
    <w:p w:rsidR="00B176DE" w:rsidRDefault="00F73184">
      <w:pPr>
        <w:spacing w:before="120" w:after="120"/>
        <w:rPr>
          <w:sz w:val="20"/>
        </w:rPr>
      </w:pPr>
      <w:r>
        <w:rPr>
          <w:sz w:val="20"/>
        </w:rPr>
        <w:t>The following agreements have been made in RAN1#10</w:t>
      </w:r>
      <w:r>
        <w:rPr>
          <w:rFonts w:hint="eastAsia"/>
          <w:sz w:val="20"/>
        </w:rPr>
        <w:t>5</w:t>
      </w:r>
      <w:r>
        <w:rPr>
          <w:sz w:val="20"/>
        </w:rPr>
        <w:t>-e on dual connectivity for IAB node [1].</w:t>
      </w:r>
    </w:p>
    <w:tbl>
      <w:tblPr>
        <w:tblStyle w:val="ac"/>
        <w:tblW w:w="0" w:type="auto"/>
        <w:tblLook w:val="04A0" w:firstRow="1" w:lastRow="0" w:firstColumn="1" w:lastColumn="0" w:noHBand="0" w:noVBand="1"/>
      </w:tblPr>
      <w:tblGrid>
        <w:gridCol w:w="9876"/>
      </w:tblGrid>
      <w:tr w:rsidR="00B176DE">
        <w:tc>
          <w:tcPr>
            <w:tcW w:w="9876" w:type="dxa"/>
          </w:tcPr>
          <w:p w:rsidR="00B176DE" w:rsidRDefault="00F73184">
            <w:pPr>
              <w:spacing w:before="120" w:after="120"/>
              <w:rPr>
                <w:rFonts w:cs="Times"/>
              </w:rPr>
            </w:pPr>
            <w:r>
              <w:rPr>
                <w:rFonts w:cs="Times"/>
                <w:b/>
                <w:bCs/>
                <w:color w:val="000000"/>
                <w:highlight w:val="green"/>
                <w:shd w:val="clear" w:color="auto" w:fill="FFFF00"/>
              </w:rPr>
              <w:t>Agreement</w:t>
            </w:r>
          </w:p>
          <w:p w:rsidR="00B176DE" w:rsidRDefault="00F73184">
            <w:pPr>
              <w:spacing w:before="120" w:after="120"/>
              <w:rPr>
                <w:rFonts w:cs="Times"/>
              </w:rPr>
            </w:pPr>
            <w:r>
              <w:rPr>
                <w:rFonts w:cs="Times"/>
              </w:rPr>
              <w:t xml:space="preserve">In case of intra-band inter-carrier dual connectivity </w:t>
            </w:r>
            <w:r>
              <w:rPr>
                <w:rFonts w:cs="Times"/>
              </w:rPr>
              <w:t>for both inter-donor and intra-donor scenarios the following are supported:</w:t>
            </w:r>
          </w:p>
          <w:p w:rsidR="00B176DE" w:rsidRDefault="00F73184">
            <w:pPr>
              <w:pStyle w:val="af0"/>
              <w:numPr>
                <w:ilvl w:val="0"/>
                <w:numId w:val="11"/>
              </w:numPr>
              <w:spacing w:after="120"/>
              <w:rPr>
                <w:rFonts w:cs="Times"/>
                <w:sz w:val="21"/>
                <w:szCs w:val="21"/>
              </w:rPr>
            </w:pPr>
            <w:r>
              <w:rPr>
                <w:rFonts w:cs="Times"/>
                <w:sz w:val="21"/>
                <w:szCs w:val="21"/>
              </w:rPr>
              <w:t xml:space="preserve">Reusing the Rel-16 CA TDD prioritization rules in case of UL/DL conflict when applicable </w:t>
            </w:r>
          </w:p>
          <w:p w:rsidR="00B176DE" w:rsidRDefault="00F73184">
            <w:pPr>
              <w:pStyle w:val="af0"/>
              <w:numPr>
                <w:ilvl w:val="1"/>
                <w:numId w:val="11"/>
              </w:numPr>
              <w:spacing w:after="120"/>
              <w:rPr>
                <w:rFonts w:cs="Times"/>
                <w:sz w:val="21"/>
                <w:szCs w:val="21"/>
              </w:rPr>
            </w:pPr>
            <w:r>
              <w:rPr>
                <w:rFonts w:cs="Times"/>
                <w:sz w:val="21"/>
                <w:szCs w:val="21"/>
              </w:rPr>
              <w:t>FFS: Whether all prioritization rules apply in case of NR-DC</w:t>
            </w:r>
          </w:p>
          <w:p w:rsidR="00B176DE" w:rsidRDefault="00F73184">
            <w:pPr>
              <w:pStyle w:val="af0"/>
              <w:numPr>
                <w:ilvl w:val="1"/>
                <w:numId w:val="11"/>
              </w:numPr>
              <w:spacing w:after="120"/>
              <w:rPr>
                <w:rFonts w:cs="Times"/>
                <w:sz w:val="21"/>
                <w:szCs w:val="21"/>
              </w:rPr>
            </w:pPr>
            <w:r>
              <w:rPr>
                <w:rFonts w:cs="Times"/>
                <w:sz w:val="21"/>
                <w:szCs w:val="21"/>
              </w:rPr>
              <w:t>FFS: Need of new prioritizati</w:t>
            </w:r>
            <w:r>
              <w:rPr>
                <w:rFonts w:cs="Times"/>
                <w:sz w:val="21"/>
                <w:szCs w:val="21"/>
              </w:rPr>
              <w:t>on rules in case of NR-DC</w:t>
            </w:r>
          </w:p>
          <w:p w:rsidR="00B176DE" w:rsidRDefault="00F73184">
            <w:pPr>
              <w:pStyle w:val="af0"/>
              <w:numPr>
                <w:ilvl w:val="0"/>
                <w:numId w:val="11"/>
              </w:numPr>
              <w:spacing w:after="120"/>
              <w:rPr>
                <w:rFonts w:cs="Times"/>
                <w:sz w:val="21"/>
                <w:szCs w:val="21"/>
              </w:rPr>
            </w:pPr>
            <w:r>
              <w:rPr>
                <w:rFonts w:cs="Times"/>
                <w:sz w:val="21"/>
                <w:szCs w:val="21"/>
              </w:rPr>
              <w:t>Coordinating the IAB-MT’s TDD configurations to avoid conflicts from different parent nodes in case the child IAB-MT does not support simultaneous TX and RX on different carries</w:t>
            </w:r>
          </w:p>
          <w:p w:rsidR="00B176DE" w:rsidRDefault="00F73184">
            <w:pPr>
              <w:pStyle w:val="af0"/>
              <w:numPr>
                <w:ilvl w:val="1"/>
                <w:numId w:val="11"/>
              </w:numPr>
              <w:spacing w:after="120"/>
              <w:rPr>
                <w:rFonts w:cs="Times"/>
                <w:sz w:val="21"/>
                <w:szCs w:val="21"/>
              </w:rPr>
            </w:pPr>
            <w:r>
              <w:rPr>
                <w:rFonts w:cs="Times"/>
                <w:sz w:val="21"/>
                <w:szCs w:val="21"/>
              </w:rPr>
              <w:t>FFS: Coordination for scheduling conflicts involving</w:t>
            </w:r>
            <w:r>
              <w:rPr>
                <w:rFonts w:cs="Times"/>
                <w:sz w:val="21"/>
                <w:szCs w:val="21"/>
              </w:rPr>
              <w:t xml:space="preserve"> at least DCI Format 2_0 usage (e.g. usage of flexible symbols)</w:t>
            </w:r>
          </w:p>
          <w:p w:rsidR="00B176DE" w:rsidRDefault="00F73184">
            <w:pPr>
              <w:pStyle w:val="af0"/>
              <w:numPr>
                <w:ilvl w:val="0"/>
                <w:numId w:val="11"/>
              </w:numPr>
              <w:spacing w:after="120"/>
              <w:rPr>
                <w:rFonts w:cs="Times"/>
                <w:bCs/>
                <w:color w:val="000000"/>
              </w:rPr>
            </w:pPr>
            <w:r>
              <w:rPr>
                <w:rFonts w:cs="Times"/>
                <w:sz w:val="21"/>
                <w:szCs w:val="21"/>
              </w:rPr>
              <w:t>Exchanging H/S/NA configurations between parent nodes/donors</w:t>
            </w:r>
          </w:p>
          <w:p w:rsidR="00B176DE" w:rsidRDefault="00F73184">
            <w:pPr>
              <w:spacing w:before="120" w:after="120"/>
              <w:rPr>
                <w:rFonts w:cs="Times"/>
                <w:b/>
                <w:highlight w:val="green"/>
              </w:rPr>
            </w:pPr>
            <w:r>
              <w:rPr>
                <w:rFonts w:cs="Times"/>
                <w:b/>
                <w:highlight w:val="green"/>
              </w:rPr>
              <w:t xml:space="preserve">Agreement </w:t>
            </w:r>
          </w:p>
          <w:p w:rsidR="00B176DE" w:rsidRDefault="00F73184">
            <w:pPr>
              <w:spacing w:before="120" w:after="120"/>
              <w:rPr>
                <w:rFonts w:cs="Times"/>
              </w:rPr>
            </w:pPr>
            <w:r>
              <w:rPr>
                <w:rFonts w:cs="Times"/>
              </w:rPr>
              <w:t>For an IAB-MT with multiple serving cells (including the case with two parent nodes), a per-cell IAB-DU soft resource is</w:t>
            </w:r>
            <w:r>
              <w:rPr>
                <w:rFonts w:cs="Times"/>
              </w:rPr>
              <w:t xml:space="preserve"> considered as available if the resource is either explicitly indicated (via DCI 2_5), or implicitly determined as available with respect to all serving cells.</w:t>
            </w:r>
          </w:p>
          <w:p w:rsidR="00B176DE" w:rsidRDefault="00F73184">
            <w:pPr>
              <w:pStyle w:val="af0"/>
              <w:numPr>
                <w:ilvl w:val="0"/>
                <w:numId w:val="11"/>
              </w:numPr>
              <w:spacing w:after="120"/>
              <w:rPr>
                <w:rFonts w:cs="Times"/>
                <w:sz w:val="21"/>
                <w:szCs w:val="21"/>
              </w:rPr>
            </w:pPr>
            <w:r>
              <w:rPr>
                <w:rFonts w:cs="Times"/>
                <w:sz w:val="21"/>
                <w:szCs w:val="21"/>
              </w:rPr>
              <w:t xml:space="preserve">If the IAB-DU per-cell soft resource neither explicitly indicated as Available, nor implicitly </w:t>
            </w:r>
            <w:r>
              <w:rPr>
                <w:rFonts w:cs="Times"/>
                <w:sz w:val="21"/>
                <w:szCs w:val="21"/>
              </w:rPr>
              <w:t>determined as Available by the IAB-DU with respect to at least one serving cell</w:t>
            </w:r>
          </w:p>
          <w:p w:rsidR="00B176DE" w:rsidRDefault="00F73184">
            <w:pPr>
              <w:pStyle w:val="af0"/>
              <w:numPr>
                <w:ilvl w:val="1"/>
                <w:numId w:val="11"/>
              </w:numPr>
              <w:spacing w:after="120"/>
              <w:rPr>
                <w:rFonts w:cs="Times"/>
                <w:sz w:val="21"/>
                <w:szCs w:val="21"/>
              </w:rPr>
            </w:pPr>
            <w:r>
              <w:rPr>
                <w:rFonts w:cs="Times"/>
                <w:sz w:val="21"/>
                <w:szCs w:val="21"/>
              </w:rPr>
              <w:t>Alt 1. The IAB-DU per-cell resource is assumed to be not available</w:t>
            </w:r>
          </w:p>
          <w:p w:rsidR="00B176DE" w:rsidRDefault="00F73184">
            <w:pPr>
              <w:pStyle w:val="af0"/>
              <w:numPr>
                <w:ilvl w:val="0"/>
                <w:numId w:val="11"/>
              </w:numPr>
              <w:spacing w:after="120"/>
              <w:rPr>
                <w:sz w:val="20"/>
              </w:rPr>
            </w:pPr>
            <w:r>
              <w:rPr>
                <w:rFonts w:cs="Times"/>
                <w:sz w:val="21"/>
                <w:szCs w:val="21"/>
              </w:rPr>
              <w:t>This agreement does not necessarily mean the Rel-16 spec does not support what is described in the main bulle</w:t>
            </w:r>
            <w:r>
              <w:rPr>
                <w:rFonts w:cs="Times"/>
                <w:sz w:val="21"/>
                <w:szCs w:val="21"/>
              </w:rPr>
              <w:t>t</w:t>
            </w:r>
          </w:p>
        </w:tc>
      </w:tr>
    </w:tbl>
    <w:p w:rsidR="00B176DE" w:rsidRDefault="00B176DE">
      <w:pPr>
        <w:spacing w:beforeLines="0" w:afterLines="0" w:line="259" w:lineRule="auto"/>
        <w:rPr>
          <w:sz w:val="20"/>
        </w:rPr>
      </w:pPr>
    </w:p>
    <w:p w:rsidR="00B176DE" w:rsidRDefault="00F73184">
      <w:pPr>
        <w:spacing w:beforeLines="0" w:afterLines="0" w:line="259" w:lineRule="auto"/>
      </w:pPr>
      <w:r>
        <w:rPr>
          <w:sz w:val="20"/>
        </w:rPr>
        <w:t>In order to mitigate</w:t>
      </w:r>
      <w:r>
        <w:rPr>
          <w:rFonts w:hint="eastAsia"/>
          <w:sz w:val="20"/>
        </w:rPr>
        <w:t xml:space="preserve"> the</w:t>
      </w:r>
      <w:r>
        <w:rPr>
          <w:sz w:val="20"/>
        </w:rPr>
        <w:t xml:space="preserve"> </w:t>
      </w:r>
      <w:r>
        <w:rPr>
          <w:rFonts w:hint="eastAsia"/>
          <w:sz w:val="20"/>
        </w:rPr>
        <w:t>transmission direction collision</w:t>
      </w:r>
      <w:r>
        <w:rPr>
          <w:sz w:val="20"/>
        </w:rPr>
        <w:t xml:space="preserve"> in in</w:t>
      </w:r>
      <w:r>
        <w:rPr>
          <w:rFonts w:hint="eastAsia"/>
          <w:sz w:val="20"/>
        </w:rPr>
        <w:t>tra-</w:t>
      </w:r>
      <w:r>
        <w:rPr>
          <w:sz w:val="20"/>
        </w:rPr>
        <w:t xml:space="preserve">band NR DC operation, the </w:t>
      </w:r>
      <w:r>
        <w:rPr>
          <w:rFonts w:hint="eastAsia"/>
          <w:sz w:val="20"/>
        </w:rPr>
        <w:t>higher l</w:t>
      </w:r>
      <w:r w:rsidR="00F70243">
        <w:rPr>
          <w:rFonts w:hint="eastAsia"/>
          <w:sz w:val="20"/>
        </w:rPr>
        <w:t>ayer configurations such as SSB</w:t>
      </w:r>
      <w:r>
        <w:rPr>
          <w:rFonts w:hint="eastAsia"/>
          <w:sz w:val="20"/>
        </w:rPr>
        <w:t xml:space="preserve">, </w:t>
      </w:r>
      <w:r>
        <w:rPr>
          <w:rFonts w:cs="Times" w:hint="eastAsia"/>
          <w:bCs/>
          <w:color w:val="000000"/>
        </w:rPr>
        <w:t xml:space="preserve">CORESET 0 configuration, Valid PRACH occasion and </w:t>
      </w:r>
      <w:r>
        <w:rPr>
          <w:sz w:val="20"/>
        </w:rPr>
        <w:t xml:space="preserve">TDD configurations for the parent nodes need to </w:t>
      </w:r>
      <w:r>
        <w:rPr>
          <w:rFonts w:hint="eastAsia"/>
          <w:sz w:val="20"/>
        </w:rPr>
        <w:t>avoid conflict</w:t>
      </w:r>
      <w:r>
        <w:rPr>
          <w:sz w:val="20"/>
        </w:rPr>
        <w:t xml:space="preserve"> first</w:t>
      </w:r>
      <w:r>
        <w:rPr>
          <w:rFonts w:hint="eastAsia"/>
          <w:sz w:val="20"/>
        </w:rPr>
        <w:t>ly</w:t>
      </w:r>
      <w:r>
        <w:rPr>
          <w:sz w:val="20"/>
        </w:rPr>
        <w:t>. This can be guaranteed for intra</w:t>
      </w:r>
      <w:r>
        <w:rPr>
          <w:rFonts w:hint="eastAsia"/>
          <w:sz w:val="20"/>
        </w:rPr>
        <w:t>-</w:t>
      </w:r>
      <w:r>
        <w:rPr>
          <w:sz w:val="20"/>
        </w:rPr>
        <w:t xml:space="preserve">donor </w:t>
      </w:r>
      <w:r>
        <w:rPr>
          <w:rFonts w:cs="Times"/>
        </w:rPr>
        <w:t>scenarios</w:t>
      </w:r>
      <w:r>
        <w:rPr>
          <w:sz w:val="20"/>
        </w:rPr>
        <w:t xml:space="preserve"> as the same CU can coordinate the configurations internally, while for inter donor </w:t>
      </w:r>
      <w:r>
        <w:rPr>
          <w:rFonts w:cs="Times"/>
        </w:rPr>
        <w:t>scenarios</w:t>
      </w:r>
      <w:r>
        <w:rPr>
          <w:sz w:val="20"/>
        </w:rPr>
        <w:t xml:space="preserve">, there may need some </w:t>
      </w:r>
      <w:r>
        <w:rPr>
          <w:rFonts w:hint="eastAsia"/>
          <w:sz w:val="20"/>
        </w:rPr>
        <w:t xml:space="preserve">higher layer </w:t>
      </w:r>
      <w:r>
        <w:rPr>
          <w:sz w:val="20"/>
        </w:rPr>
        <w:t xml:space="preserve">configuration coordination between CUs, </w:t>
      </w:r>
      <w:r>
        <w:rPr>
          <w:rFonts w:hint="eastAsia"/>
          <w:sz w:val="20"/>
        </w:rPr>
        <w:t xml:space="preserve">and the signalling design for </w:t>
      </w:r>
      <w:r>
        <w:rPr>
          <w:rFonts w:hint="eastAsia"/>
          <w:sz w:val="20"/>
        </w:rPr>
        <w:t>such purpose</w:t>
      </w:r>
      <w:r>
        <w:rPr>
          <w:sz w:val="20"/>
        </w:rPr>
        <w:t xml:space="preserve"> can be left for RAN3. In </w:t>
      </w:r>
      <w:r>
        <w:rPr>
          <w:rFonts w:hint="eastAsia"/>
          <w:sz w:val="20"/>
        </w:rPr>
        <w:t>general</w:t>
      </w:r>
      <w:r>
        <w:rPr>
          <w:sz w:val="20"/>
        </w:rPr>
        <w:t xml:space="preserve">, from RAN1 perspective, the </w:t>
      </w:r>
      <w:r>
        <w:rPr>
          <w:rFonts w:hint="eastAsia"/>
        </w:rPr>
        <w:t>Semi-static</w:t>
      </w:r>
      <w:r>
        <w:rPr>
          <w:rFonts w:hint="eastAsia"/>
          <w:sz w:val="20"/>
        </w:rPr>
        <w:t xml:space="preserve"> or cell-common high layer </w:t>
      </w:r>
      <w:r>
        <w:rPr>
          <w:sz w:val="20"/>
        </w:rPr>
        <w:t>configuration from</w:t>
      </w:r>
      <w:r>
        <w:rPr>
          <w:rFonts w:hint="eastAsia"/>
          <w:sz w:val="20"/>
        </w:rPr>
        <w:t>/for</w:t>
      </w:r>
      <w:r>
        <w:rPr>
          <w:sz w:val="20"/>
        </w:rPr>
        <w:t xml:space="preserve"> different parent nodes are assumed </w:t>
      </w:r>
      <w:r>
        <w:rPr>
          <w:rFonts w:hint="eastAsia"/>
          <w:sz w:val="20"/>
        </w:rPr>
        <w:t>to be matched at the IAB MT side.</w:t>
      </w:r>
    </w:p>
    <w:p w:rsidR="00B176DE" w:rsidRDefault="00F73184">
      <w:pPr>
        <w:pStyle w:val="YJ-Proposal"/>
        <w:spacing w:before="120" w:after="120"/>
        <w:rPr>
          <w:lang w:val="en-US" w:eastAsia="zh-CN"/>
        </w:rPr>
      </w:pPr>
      <w:bookmarkStart w:id="145" w:name="_Toc15324"/>
      <w:bookmarkStart w:id="146" w:name="_Toc6758"/>
      <w:bookmarkStart w:id="147" w:name="_Toc31777"/>
      <w:bookmarkStart w:id="148" w:name="_Toc21222"/>
      <w:bookmarkStart w:id="149" w:name="_Toc20757"/>
      <w:bookmarkStart w:id="150" w:name="_Toc79164587"/>
      <w:r>
        <w:rPr>
          <w:rFonts w:hint="eastAsia"/>
          <w:lang w:val="en-US" w:eastAsia="zh-CN"/>
        </w:rPr>
        <w:t>To minimize the transmission direction conflict at t</w:t>
      </w:r>
      <w:r>
        <w:rPr>
          <w:rFonts w:hint="eastAsia"/>
          <w:lang w:val="en-US" w:eastAsia="zh-CN"/>
        </w:rPr>
        <w:t>he IAB MT side</w:t>
      </w:r>
      <w:r>
        <w:rPr>
          <w:rFonts w:hint="eastAsia"/>
          <w:lang w:val="en-US" w:eastAsia="zh-CN"/>
        </w:rPr>
        <w:t>：</w:t>
      </w:r>
      <w:bookmarkEnd w:id="150"/>
    </w:p>
    <w:p w:rsidR="00B176DE" w:rsidRDefault="00F73184">
      <w:pPr>
        <w:pStyle w:val="YJ-Proposal"/>
        <w:numPr>
          <w:ilvl w:val="1"/>
          <w:numId w:val="3"/>
        </w:numPr>
        <w:spacing w:before="120" w:after="120"/>
        <w:rPr>
          <w:lang w:val="en-US" w:eastAsia="zh-CN"/>
        </w:rPr>
      </w:pPr>
      <w:bookmarkStart w:id="151" w:name="_Toc79164588"/>
      <w:r>
        <w:rPr>
          <w:rFonts w:cs="Times"/>
          <w:sz w:val="21"/>
          <w:szCs w:val="21"/>
        </w:rPr>
        <w:t xml:space="preserve">Coordinating </w:t>
      </w:r>
      <w:r>
        <w:rPr>
          <w:rFonts w:hint="eastAsia"/>
          <w:lang w:val="en-US" w:eastAsia="zh-CN"/>
        </w:rPr>
        <w:t xml:space="preserve">the </w:t>
      </w:r>
      <w:r>
        <w:rPr>
          <w:rFonts w:eastAsia="宋体" w:hint="eastAsia"/>
          <w:lang w:val="en-US" w:eastAsia="zh-CN"/>
        </w:rPr>
        <w:t>Semi-static</w:t>
      </w:r>
      <w:r>
        <w:rPr>
          <w:rFonts w:hint="eastAsia"/>
          <w:lang w:val="en-US" w:eastAsia="zh-CN"/>
        </w:rPr>
        <w:t xml:space="preserve"> or cell-common  high layer</w:t>
      </w:r>
      <w:r>
        <w:rPr>
          <w:rFonts w:hint="eastAsia"/>
          <w:lang w:val="en-US" w:eastAsia="zh-CN"/>
        </w:rPr>
        <w:t xml:space="preserve"> configuration(such as </w:t>
      </w:r>
      <w:r>
        <w:rPr>
          <w:rFonts w:hint="eastAsia"/>
          <w:lang w:val="en-US" w:eastAsia="zh-CN"/>
        </w:rPr>
        <w:t xml:space="preserve">SSB , </w:t>
      </w:r>
      <w:r>
        <w:rPr>
          <w:rFonts w:cs="Times" w:hint="eastAsia"/>
          <w:color w:val="000000"/>
          <w:lang w:val="en-US" w:eastAsia="zh-CN"/>
        </w:rPr>
        <w:t xml:space="preserve">CORESET 0 configuration, Valid PRACH occasion and </w:t>
      </w:r>
      <w:r>
        <w:t>TDD configurations</w:t>
      </w:r>
      <w:r>
        <w:rPr>
          <w:rFonts w:hint="eastAsia"/>
          <w:lang w:val="en-US" w:eastAsia="zh-CN"/>
        </w:rPr>
        <w:t xml:space="preserve">) from/for different parent nodes are needed at least for inter-donor </w:t>
      </w:r>
      <w:r>
        <w:rPr>
          <w:rFonts w:cs="Times"/>
        </w:rPr>
        <w:t>scenarios</w:t>
      </w:r>
      <w:r>
        <w:rPr>
          <w:rFonts w:cs="Times" w:hint="eastAsia"/>
          <w:lang w:eastAsia="zh-CN"/>
        </w:rPr>
        <w:t>。</w:t>
      </w:r>
      <w:bookmarkEnd w:id="151"/>
    </w:p>
    <w:p w:rsidR="00B176DE" w:rsidRDefault="00F73184">
      <w:pPr>
        <w:pStyle w:val="YJ-Proposal"/>
        <w:numPr>
          <w:ilvl w:val="1"/>
          <w:numId w:val="3"/>
        </w:numPr>
        <w:spacing w:before="120" w:after="120"/>
        <w:rPr>
          <w:lang w:val="en-US" w:eastAsia="zh-CN"/>
        </w:rPr>
      </w:pPr>
      <w:bookmarkStart w:id="152" w:name="_Toc79164589"/>
      <w:r>
        <w:rPr>
          <w:rFonts w:hint="eastAsia"/>
          <w:lang w:val="en-US" w:eastAsia="zh-CN"/>
        </w:rPr>
        <w:t>F</w:t>
      </w:r>
      <w:r>
        <w:t>rom RA</w:t>
      </w:r>
      <w:r>
        <w:t xml:space="preserve">N1 perspective, the </w:t>
      </w:r>
      <w:r>
        <w:rPr>
          <w:rFonts w:eastAsia="宋体" w:hint="eastAsia"/>
          <w:lang w:val="en-US" w:eastAsia="zh-CN"/>
        </w:rPr>
        <w:t>Semi-static</w:t>
      </w:r>
      <w:r>
        <w:rPr>
          <w:rFonts w:hint="eastAsia"/>
          <w:lang w:val="en-US" w:eastAsia="zh-CN"/>
        </w:rPr>
        <w:t xml:space="preserve"> or cell-common high layer </w:t>
      </w:r>
      <w:r>
        <w:t>configuration from</w:t>
      </w:r>
      <w:r>
        <w:rPr>
          <w:rFonts w:hint="eastAsia"/>
          <w:lang w:val="en-US" w:eastAsia="zh-CN"/>
        </w:rPr>
        <w:t>/for</w:t>
      </w:r>
      <w:r>
        <w:t xml:space="preserve"> different parent nodes are </w:t>
      </w:r>
      <w:r>
        <w:rPr>
          <w:rFonts w:hint="eastAsia"/>
          <w:lang w:val="en-US" w:eastAsia="zh-CN"/>
        </w:rPr>
        <w:t>assumed not conflicted for intra-band inter-carrier DC.</w:t>
      </w:r>
      <w:bookmarkEnd w:id="145"/>
      <w:bookmarkEnd w:id="146"/>
      <w:bookmarkEnd w:id="147"/>
      <w:bookmarkEnd w:id="148"/>
      <w:bookmarkEnd w:id="149"/>
      <w:bookmarkEnd w:id="152"/>
    </w:p>
    <w:p w:rsidR="00B176DE" w:rsidRDefault="00B176DE">
      <w:pPr>
        <w:spacing w:beforeLines="0" w:afterLines="0" w:line="259" w:lineRule="auto"/>
        <w:rPr>
          <w:sz w:val="20"/>
        </w:rPr>
      </w:pPr>
    </w:p>
    <w:p w:rsidR="00B176DE" w:rsidRDefault="00B176DE">
      <w:pPr>
        <w:spacing w:beforeLines="0" w:afterLines="0" w:line="259" w:lineRule="auto"/>
        <w:rPr>
          <w:sz w:val="20"/>
        </w:rPr>
      </w:pPr>
    </w:p>
    <w:p w:rsidR="00B176DE" w:rsidRDefault="00F70243">
      <w:pPr>
        <w:spacing w:beforeLines="0" w:afterLines="0" w:line="259" w:lineRule="auto"/>
        <w:rPr>
          <w:sz w:val="20"/>
        </w:rPr>
      </w:pPr>
      <w:r>
        <w:rPr>
          <w:rFonts w:hint="eastAsia"/>
          <w:sz w:val="20"/>
        </w:rPr>
        <w:t>As can be</w:t>
      </w:r>
      <w:r w:rsidR="00F73184">
        <w:rPr>
          <w:rFonts w:hint="eastAsia"/>
          <w:sz w:val="20"/>
        </w:rPr>
        <w:t xml:space="preserve"> seen, after proper coordination and configuration, transmission direction confl</w:t>
      </w:r>
      <w:r w:rsidR="00F73184">
        <w:rPr>
          <w:rFonts w:hint="eastAsia"/>
          <w:sz w:val="20"/>
        </w:rPr>
        <w:t>ict between S</w:t>
      </w:r>
      <w:r w:rsidR="00F73184">
        <w:rPr>
          <w:rFonts w:hint="eastAsia"/>
        </w:rPr>
        <w:t xml:space="preserve">emi-static configurations from two parents can be avoided, the R16 CA </w:t>
      </w:r>
      <w:r w:rsidR="00F73184">
        <w:rPr>
          <w:rFonts w:eastAsia="Times New Roman" w:cs="Times"/>
          <w:bCs/>
          <w:color w:val="000000"/>
        </w:rPr>
        <w:t>prioritization rules</w:t>
      </w:r>
      <w:r w:rsidR="00F73184">
        <w:rPr>
          <w:rFonts w:cs="Times" w:hint="eastAsia"/>
          <w:bCs/>
          <w:color w:val="000000"/>
        </w:rPr>
        <w:t xml:space="preserve"> can be reused for this situation. </w:t>
      </w:r>
      <w:r w:rsidR="00F73184">
        <w:rPr>
          <w:rFonts w:hint="eastAsia"/>
        </w:rPr>
        <w:t>Dynamic indications conflict in CA is avoided by impleme</w:t>
      </w:r>
      <w:r w:rsidR="00F73184">
        <w:rPr>
          <w:rFonts w:hint="eastAsia"/>
        </w:rPr>
        <w:t>n</w:t>
      </w:r>
      <w:r w:rsidR="00F73184">
        <w:rPr>
          <w:rFonts w:hint="eastAsia"/>
        </w:rPr>
        <w:t xml:space="preserve">tation, </w:t>
      </w:r>
      <w:r w:rsidR="00F73184">
        <w:rPr>
          <w:rFonts w:hint="eastAsia"/>
        </w:rPr>
        <w:t>this method can also be reused by avoiding schedule t</w:t>
      </w:r>
      <w:r w:rsidR="00F73184">
        <w:rPr>
          <w:rFonts w:hint="eastAsia"/>
        </w:rPr>
        <w:t xml:space="preserve">he flexible resource from both CG on the same symbol simultaneously. To achieve this target, the following two implementation examples without dynamic </w:t>
      </w:r>
      <w:r w:rsidR="00F73184">
        <w:rPr>
          <w:rFonts w:cs="Times" w:hint="eastAsia"/>
          <w:szCs w:val="21"/>
        </w:rPr>
        <w:t>c</w:t>
      </w:r>
      <w:r w:rsidR="00F73184">
        <w:rPr>
          <w:rFonts w:cs="Times"/>
          <w:szCs w:val="21"/>
        </w:rPr>
        <w:t>oordination</w:t>
      </w:r>
      <w:r w:rsidR="00F73184">
        <w:rPr>
          <w:rFonts w:hint="eastAsia"/>
        </w:rPr>
        <w:t xml:space="preserve"> are shown: </w:t>
      </w:r>
    </w:p>
    <w:p w:rsidR="00B176DE" w:rsidRDefault="00B176DE">
      <w:pPr>
        <w:spacing w:beforeLines="0" w:afterLines="0" w:line="259" w:lineRule="auto"/>
        <w:rPr>
          <w:sz w:val="20"/>
        </w:rPr>
      </w:pPr>
    </w:p>
    <w:p w:rsidR="00B176DE" w:rsidRDefault="00F73184">
      <w:pPr>
        <w:numPr>
          <w:ilvl w:val="0"/>
          <w:numId w:val="14"/>
        </w:numPr>
        <w:spacing w:beforeLines="0" w:afterLines="0" w:line="259" w:lineRule="auto"/>
        <w:rPr>
          <w:sz w:val="20"/>
        </w:rPr>
      </w:pPr>
      <w:r>
        <w:rPr>
          <w:rFonts w:hint="eastAsia"/>
          <w:sz w:val="20"/>
        </w:rPr>
        <w:t xml:space="preserve">Example 1: Flexible resource configured from both CG can be on different </w:t>
      </w:r>
      <w:r>
        <w:rPr>
          <w:rFonts w:hint="eastAsia"/>
          <w:sz w:val="20"/>
        </w:rPr>
        <w:t>symbols.</w:t>
      </w:r>
    </w:p>
    <w:p w:rsidR="00B176DE" w:rsidRDefault="00F73184">
      <w:pPr>
        <w:numPr>
          <w:ilvl w:val="0"/>
          <w:numId w:val="14"/>
        </w:numPr>
        <w:spacing w:beforeLines="0" w:afterLines="0" w:line="259" w:lineRule="auto"/>
        <w:rPr>
          <w:sz w:val="20"/>
        </w:rPr>
      </w:pPr>
      <w:r>
        <w:rPr>
          <w:rFonts w:hint="eastAsia"/>
          <w:sz w:val="20"/>
        </w:rPr>
        <w:t>Example 2: If Flexible resource configured from both CG is on the same symbol, the two parents should avoid scheduling the flexible resource simultaneous.</w:t>
      </w:r>
    </w:p>
    <w:p w:rsidR="00B176DE" w:rsidRDefault="00F73184">
      <w:pPr>
        <w:pStyle w:val="YJ-Proposal"/>
        <w:spacing w:before="120" w:after="120"/>
      </w:pPr>
      <w:bookmarkStart w:id="153" w:name="_Toc22283"/>
      <w:bookmarkStart w:id="154" w:name="_Toc79164590"/>
      <w:r>
        <w:rPr>
          <w:rFonts w:hint="eastAsia"/>
          <w:lang w:val="en-US" w:eastAsia="zh-CN"/>
        </w:rPr>
        <w:t xml:space="preserve">Coordinating the dynamic indication/scheduling form different parents is not supported, the </w:t>
      </w:r>
      <w:r>
        <w:rPr>
          <w:rFonts w:hint="eastAsia"/>
          <w:lang w:val="en-US" w:eastAsia="zh-CN"/>
        </w:rPr>
        <w:t xml:space="preserve">dynamic indication conflict can be left to </w:t>
      </w:r>
      <w:r>
        <w:rPr>
          <w:rFonts w:eastAsia="宋体" w:hint="eastAsia"/>
          <w:lang w:val="en-US" w:eastAsia="zh-CN"/>
        </w:rPr>
        <w:t>impleme</w:t>
      </w:r>
      <w:r>
        <w:rPr>
          <w:rFonts w:hint="eastAsia"/>
          <w:lang w:val="en-US" w:eastAsia="zh-CN"/>
        </w:rPr>
        <w:t>n</w:t>
      </w:r>
      <w:r>
        <w:rPr>
          <w:rFonts w:eastAsia="宋体" w:hint="eastAsia"/>
          <w:lang w:val="en-US" w:eastAsia="zh-CN"/>
        </w:rPr>
        <w:t xml:space="preserve">tation </w:t>
      </w:r>
      <w:r>
        <w:rPr>
          <w:rFonts w:hint="eastAsia"/>
          <w:lang w:val="en-US" w:eastAsia="zh-CN"/>
        </w:rPr>
        <w:t>in DC scenario</w:t>
      </w:r>
      <w:r>
        <w:rPr>
          <w:rFonts w:cs="Times" w:hint="eastAsia"/>
          <w:sz w:val="21"/>
          <w:szCs w:val="21"/>
          <w:lang w:val="en-US" w:eastAsia="zh-CN"/>
        </w:rPr>
        <w:t>.</w:t>
      </w:r>
      <w:bookmarkEnd w:id="153"/>
      <w:bookmarkEnd w:id="154"/>
    </w:p>
    <w:p w:rsidR="00B176DE" w:rsidRDefault="00B176DE">
      <w:pPr>
        <w:spacing w:before="120" w:after="120"/>
      </w:pPr>
    </w:p>
    <w:p w:rsidR="00B176DE" w:rsidRDefault="00F73184">
      <w:pPr>
        <w:spacing w:before="120" w:after="120"/>
      </w:pPr>
      <w:r>
        <w:rPr>
          <w:rFonts w:hint="eastAsia"/>
        </w:rPr>
        <w:t xml:space="preserve">An IAB MT can detect more than one DCI format 2_5, and in R16 it is specified that </w:t>
      </w:r>
      <w:r>
        <w:t xml:space="preserve">the IAB-MT expects that each of the more than one DCI formats 2_5 indicates a </w:t>
      </w:r>
      <w:r>
        <w:t xml:space="preserve">same </w:t>
      </w:r>
      <w:r>
        <w:t xml:space="preserve">value for the </w:t>
      </w:r>
      <w:r>
        <w:t>availability combination of the soft symbols in the slot</w:t>
      </w:r>
      <w:r>
        <w:rPr>
          <w:rFonts w:hint="eastAsia"/>
        </w:rPr>
        <w:t>, this conclusion may not be applied in the DC scenario. So the restriction for indicating same value by more than one DCI 2_5 is only applied in the same CG.</w:t>
      </w:r>
    </w:p>
    <w:p w:rsidR="00B176DE" w:rsidRDefault="00B176DE">
      <w:pPr>
        <w:spacing w:before="120" w:after="120"/>
      </w:pPr>
    </w:p>
    <w:p w:rsidR="00B176DE" w:rsidRDefault="00F73184">
      <w:pPr>
        <w:pStyle w:val="YJ-Proposal"/>
        <w:spacing w:before="120" w:after="120"/>
        <w:rPr>
          <w:lang w:val="en-US" w:eastAsia="zh-CN"/>
        </w:rPr>
      </w:pPr>
      <w:bookmarkStart w:id="155" w:name="_Toc8139"/>
      <w:bookmarkStart w:id="156" w:name="_Toc79164591"/>
      <w:r>
        <w:rPr>
          <w:rFonts w:hint="eastAsia"/>
          <w:lang w:val="en-US" w:eastAsia="zh-CN"/>
        </w:rPr>
        <w:t>When IAB MT detect more than one DCI fo</w:t>
      </w:r>
      <w:r>
        <w:rPr>
          <w:rFonts w:hint="eastAsia"/>
          <w:lang w:val="en-US" w:eastAsia="zh-CN"/>
        </w:rPr>
        <w:t xml:space="preserve">rmat 2_5, </w:t>
      </w:r>
      <w:r>
        <w:rPr>
          <w:lang w:val="en-US"/>
        </w:rPr>
        <w:t xml:space="preserve">the IAB-MT expects that each of the more than one DCI formats 2_5 </w:t>
      </w:r>
      <w:r>
        <w:rPr>
          <w:rFonts w:hint="eastAsia"/>
          <w:lang w:val="en-US" w:eastAsia="zh-CN"/>
        </w:rPr>
        <w:t xml:space="preserve">from the same CG </w:t>
      </w:r>
      <w:r>
        <w:rPr>
          <w:lang w:val="en-US"/>
        </w:rPr>
        <w:t xml:space="preserve">indicates a </w:t>
      </w:r>
      <w:r>
        <w:rPr>
          <w:lang w:val="en-US"/>
        </w:rPr>
        <w:t xml:space="preserve">same </w:t>
      </w:r>
      <w:r>
        <w:rPr>
          <w:lang w:val="en-US"/>
        </w:rPr>
        <w:t xml:space="preserve">value for the availability combination of the soft </w:t>
      </w:r>
      <w:r>
        <w:rPr>
          <w:rFonts w:hint="eastAsia"/>
          <w:lang w:val="en-US" w:eastAsia="zh-CN"/>
        </w:rPr>
        <w:t>resources</w:t>
      </w:r>
      <w:r>
        <w:rPr>
          <w:lang w:val="en-US"/>
        </w:rPr>
        <w:t xml:space="preserve"> in the slot</w:t>
      </w:r>
      <w:r>
        <w:rPr>
          <w:rFonts w:hint="eastAsia"/>
          <w:lang w:val="en-US" w:eastAsia="zh-CN"/>
        </w:rPr>
        <w:t>.</w:t>
      </w:r>
      <w:bookmarkEnd w:id="155"/>
      <w:bookmarkEnd w:id="156"/>
    </w:p>
    <w:p w:rsidR="00B176DE" w:rsidRDefault="00B176DE">
      <w:pPr>
        <w:spacing w:before="120" w:after="120"/>
      </w:pPr>
    </w:p>
    <w:p w:rsidR="00B176DE" w:rsidRDefault="00F73184">
      <w:pPr>
        <w:spacing w:before="120" w:after="120"/>
        <w:rPr>
          <w:rFonts w:cs="Times"/>
        </w:rPr>
      </w:pPr>
      <w:r>
        <w:rPr>
          <w:rFonts w:hint="eastAsia"/>
          <w:sz w:val="20"/>
        </w:rPr>
        <w:t>For DCI 2_5 indication conflict from two parents, it has been agreed th</w:t>
      </w:r>
      <w:r>
        <w:rPr>
          <w:rFonts w:hint="eastAsia"/>
          <w:sz w:val="20"/>
        </w:rPr>
        <w:t xml:space="preserve">at </w:t>
      </w:r>
      <w:r>
        <w:rPr>
          <w:rFonts w:cs="Times"/>
        </w:rPr>
        <w:t>a per-cell IAB-DU soft resource is considered as available if the resource is either explicitly indicated (via DCI 2_5), or implicitly determined as available with respect to all serving cells.</w:t>
      </w:r>
      <w:r>
        <w:rPr>
          <w:rFonts w:cs="Times" w:hint="eastAsia"/>
        </w:rPr>
        <w:t xml:space="preserve"> So the per-cell IAB DU soft resource availability with resp</w:t>
      </w:r>
      <w:r>
        <w:rPr>
          <w:rFonts w:cs="Times" w:hint="eastAsia"/>
        </w:rPr>
        <w:t>ect to per MT serving cell should be clarified firstly.</w:t>
      </w:r>
    </w:p>
    <w:p w:rsidR="00B176DE" w:rsidRDefault="00F73184">
      <w:pPr>
        <w:spacing w:before="120" w:after="120"/>
        <w:rPr>
          <w:rFonts w:cs="Times"/>
        </w:rPr>
      </w:pPr>
      <w:r>
        <w:rPr>
          <w:rFonts w:cs="Times" w:hint="eastAsia"/>
        </w:rPr>
        <w:t>P</w:t>
      </w:r>
      <w:r>
        <w:rPr>
          <w:rFonts w:cs="Times"/>
        </w:rPr>
        <w:t>er-cell IAB-DU soft resource is considered as available</w:t>
      </w:r>
      <w:r>
        <w:rPr>
          <w:rFonts w:cs="Times" w:hint="eastAsia"/>
        </w:rPr>
        <w:t xml:space="preserve"> with respect to a MT serving cell can be </w:t>
      </w:r>
      <w:r>
        <w:rPr>
          <w:rFonts w:cs="Times"/>
        </w:rPr>
        <w:t>either explicitly indicated (via DCI 2_5), or implicitly determined as available</w:t>
      </w:r>
      <w:r>
        <w:rPr>
          <w:rFonts w:cs="Times" w:hint="eastAsia"/>
        </w:rPr>
        <w:t xml:space="preserve">. In current spec the </w:t>
      </w:r>
      <w:r>
        <w:rPr>
          <w:rFonts w:cs="Times" w:hint="eastAsia"/>
        </w:rPr>
        <w:t>DU availability is defined as follows:</w:t>
      </w:r>
    </w:p>
    <w:tbl>
      <w:tblPr>
        <w:tblStyle w:val="ac"/>
        <w:tblW w:w="0" w:type="auto"/>
        <w:tblLook w:val="04A0" w:firstRow="1" w:lastRow="0" w:firstColumn="1" w:lastColumn="0" w:noHBand="0" w:noVBand="1"/>
      </w:tblPr>
      <w:tblGrid>
        <w:gridCol w:w="9876"/>
      </w:tblGrid>
      <w:tr w:rsidR="00B176DE">
        <w:tc>
          <w:tcPr>
            <w:tcW w:w="9876" w:type="dxa"/>
          </w:tcPr>
          <w:p w:rsidR="00B176DE" w:rsidRPr="00A17866" w:rsidRDefault="00F73184">
            <w:pPr>
              <w:pStyle w:val="B1"/>
              <w:spacing w:before="120" w:after="120"/>
              <w:rPr>
                <w:iCs/>
                <w:lang w:val="en-US"/>
              </w:rPr>
            </w:pPr>
            <w:r w:rsidRPr="00A17866">
              <w:rPr>
                <w:lang w:val="en-US"/>
              </w:rPr>
              <w:t>When a downlink, uplink, or flexible symbol is configured as soft, the IAB-DU can respectively transmit, receive or either transmit or receive in the symbol only if</w:t>
            </w:r>
          </w:p>
          <w:p w:rsidR="00B176DE" w:rsidRPr="00A17866" w:rsidRDefault="00F73184">
            <w:pPr>
              <w:pStyle w:val="B1"/>
              <w:spacing w:before="120" w:after="120"/>
              <w:rPr>
                <w:lang w:val="en-US"/>
              </w:rPr>
            </w:pPr>
            <w:r w:rsidRPr="00A17866">
              <w:rPr>
                <w:lang w:val="en-US"/>
              </w:rPr>
              <w:t>-</w:t>
            </w:r>
            <w:r w:rsidRPr="00A17866">
              <w:rPr>
                <w:lang w:val="en-US"/>
              </w:rPr>
              <w:tab/>
              <w:t>the IAB-MT does not transmit or receive in the sym</w:t>
            </w:r>
            <w:r w:rsidRPr="00A17866">
              <w:rPr>
                <w:lang w:val="en-US"/>
              </w:rPr>
              <w:t>bol, or</w:t>
            </w:r>
          </w:p>
          <w:p w:rsidR="00B176DE" w:rsidRPr="00A17866" w:rsidRDefault="00F73184">
            <w:pPr>
              <w:pStyle w:val="B1"/>
              <w:spacing w:before="120" w:after="120"/>
              <w:rPr>
                <w:lang w:val="en-US"/>
              </w:rPr>
            </w:pPr>
            <w:r w:rsidRPr="00A17866">
              <w:rPr>
                <w:lang w:val="en-US"/>
              </w:rPr>
              <w:t>-</w:t>
            </w:r>
            <w:r w:rsidRPr="00A17866">
              <w:rPr>
                <w:lang w:val="en-US"/>
              </w:rPr>
              <w:tab/>
              <w:t>the IAB-MT would transmit or receive in the symbol, and the transmission or reception in the symbol is not changed due to a use of the symbol by the IAB-DU, or</w:t>
            </w:r>
          </w:p>
          <w:p w:rsidR="00B176DE" w:rsidRDefault="00F73184">
            <w:pPr>
              <w:pStyle w:val="B1"/>
              <w:spacing w:before="120" w:after="120"/>
              <w:rPr>
                <w:rFonts w:cs="Times"/>
                <w:lang w:val="en-US"/>
              </w:rPr>
            </w:pPr>
            <w:r w:rsidRPr="00A17866">
              <w:rPr>
                <w:lang w:val="en-US"/>
              </w:rPr>
              <w:t>-</w:t>
            </w:r>
            <w:r w:rsidRPr="00A17866">
              <w:rPr>
                <w:lang w:val="en-US"/>
              </w:rPr>
              <w:tab/>
              <w:t>the IAB-MT</w:t>
            </w:r>
            <w:r>
              <w:rPr>
                <w:rFonts w:hint="eastAsia"/>
                <w:lang w:val="en-US"/>
              </w:rPr>
              <w:t xml:space="preserve"> </w:t>
            </w:r>
            <w:r w:rsidRPr="00A17866">
              <w:rPr>
                <w:lang w:val="en-US"/>
              </w:rPr>
              <w:t xml:space="preserve">detects a DCI format 2_5 with an </w:t>
            </w:r>
            <w:r w:rsidRPr="00A17866">
              <w:rPr>
                <w:lang w:val="en-US"/>
              </w:rPr>
              <w:t xml:space="preserve">AI index field value </w:t>
            </w:r>
            <w:r w:rsidRPr="00A17866">
              <w:rPr>
                <w:lang w:val="en-US"/>
              </w:rPr>
              <w:t>indicating the soft</w:t>
            </w:r>
            <w:r w:rsidRPr="00A17866">
              <w:rPr>
                <w:lang w:val="en-US"/>
              </w:rPr>
              <w:t xml:space="preserve"> symbol as available</w:t>
            </w:r>
          </w:p>
        </w:tc>
      </w:tr>
    </w:tbl>
    <w:p w:rsidR="00B176DE" w:rsidRDefault="00F73184">
      <w:pPr>
        <w:spacing w:before="120" w:after="120"/>
      </w:pPr>
      <w:r>
        <w:rPr>
          <w:rFonts w:cs="Times" w:hint="eastAsia"/>
        </w:rPr>
        <w:t xml:space="preserve">The description is not suitable for the DC scenario, for the third sub bullet, when the IAB MT detects a DCI format 2_5 from one patent </w:t>
      </w:r>
      <w:r>
        <w:t xml:space="preserve">with an </w:t>
      </w:r>
      <w:r>
        <w:t xml:space="preserve">AI index field value </w:t>
      </w:r>
      <w:r>
        <w:t>indicating the soft symbol as available</w:t>
      </w:r>
      <w:r>
        <w:rPr>
          <w:rFonts w:hint="eastAsia"/>
        </w:rPr>
        <w:t xml:space="preserve">, the </w:t>
      </w:r>
      <w:r>
        <w:t>soft symbol</w:t>
      </w:r>
      <w:r>
        <w:rPr>
          <w:rFonts w:hint="eastAsia"/>
        </w:rPr>
        <w:t xml:space="preserve"> availability indication from another parent may be not </w:t>
      </w:r>
      <w:r>
        <w:t>available</w:t>
      </w:r>
      <w:r>
        <w:rPr>
          <w:rFonts w:hint="eastAsia"/>
        </w:rPr>
        <w:t xml:space="preserve">. And some updates to current text are needed. For example, with respect to one specific MT serving cell, the </w:t>
      </w:r>
      <w:r>
        <w:t>per-cell IAB-DU soft resource is considered as available</w:t>
      </w:r>
      <w:r>
        <w:rPr>
          <w:rFonts w:hint="eastAsia"/>
        </w:rPr>
        <w:t xml:space="preserve"> if:</w:t>
      </w:r>
    </w:p>
    <w:p w:rsidR="00B176DE" w:rsidRDefault="00F70243">
      <w:pPr>
        <w:pStyle w:val="B1"/>
        <w:widowControl w:val="0"/>
        <w:spacing w:before="120" w:after="120"/>
        <w:rPr>
          <w:lang w:val="en-US"/>
        </w:rPr>
      </w:pPr>
      <w:r>
        <w:rPr>
          <w:lang w:val="en-US"/>
        </w:rPr>
        <w:t xml:space="preserve">-  </w:t>
      </w:r>
      <w:r>
        <w:rPr>
          <w:rFonts w:hint="eastAsia"/>
          <w:lang w:val="en-US"/>
        </w:rPr>
        <w:t>T</w:t>
      </w:r>
      <w:r w:rsidR="00F73184">
        <w:rPr>
          <w:lang w:val="en-US"/>
        </w:rPr>
        <w:t xml:space="preserve">he IAB MT would </w:t>
      </w:r>
      <w:r w:rsidR="00F73184">
        <w:rPr>
          <w:lang w:val="en-US"/>
        </w:rPr>
        <w:t>not Tx/Rx on the serving cell during the symbol of</w:t>
      </w:r>
      <w:r w:rsidR="00F73184">
        <w:rPr>
          <w:rFonts w:hint="eastAsia"/>
          <w:lang w:val="en-US"/>
        </w:rPr>
        <w:t xml:space="preserve"> </w:t>
      </w:r>
      <w:r w:rsidR="00F73184">
        <w:rPr>
          <w:lang w:val="en-US"/>
        </w:rPr>
        <w:t>the soft resource, or</w:t>
      </w:r>
    </w:p>
    <w:p w:rsidR="00B176DE" w:rsidRDefault="00F70243">
      <w:pPr>
        <w:pStyle w:val="B1"/>
        <w:widowControl w:val="0"/>
        <w:spacing w:before="120" w:after="120"/>
        <w:rPr>
          <w:lang w:val="en-US"/>
        </w:rPr>
      </w:pPr>
      <w:r>
        <w:rPr>
          <w:lang w:val="en-US"/>
        </w:rPr>
        <w:t xml:space="preserve">-  </w:t>
      </w:r>
      <w:r>
        <w:rPr>
          <w:rFonts w:hint="eastAsia"/>
          <w:lang w:val="en-US"/>
        </w:rPr>
        <w:t>T</w:t>
      </w:r>
      <w:r w:rsidR="00F73184">
        <w:rPr>
          <w:lang w:val="en-US"/>
        </w:rPr>
        <w:t>he IAB MT would Tx/Rx on the serving cell during the symbol of</w:t>
      </w:r>
      <w:r w:rsidR="00F73184">
        <w:rPr>
          <w:rFonts w:hint="eastAsia"/>
          <w:lang w:val="en-US"/>
        </w:rPr>
        <w:t xml:space="preserve"> </w:t>
      </w:r>
      <w:r w:rsidR="00F73184">
        <w:rPr>
          <w:lang w:val="en-US"/>
        </w:rPr>
        <w:t xml:space="preserve">the soft resource, and the transmission or reception in the symbol is not changed due to a use of the symbol by the </w:t>
      </w:r>
      <w:r w:rsidR="00F73184">
        <w:rPr>
          <w:lang w:val="en-US"/>
        </w:rPr>
        <w:t>IAB-DU cell</w:t>
      </w:r>
      <w:r w:rsidR="00F73184">
        <w:rPr>
          <w:rFonts w:hint="eastAsia"/>
          <w:lang w:val="en-US"/>
        </w:rPr>
        <w:t>, or</w:t>
      </w:r>
    </w:p>
    <w:p w:rsidR="00B176DE" w:rsidRDefault="00F73184">
      <w:pPr>
        <w:pStyle w:val="B1"/>
        <w:widowControl w:val="0"/>
        <w:spacing w:before="120" w:after="120"/>
        <w:rPr>
          <w:lang w:val="en-US"/>
        </w:rPr>
      </w:pPr>
      <w:r>
        <w:rPr>
          <w:lang w:val="en-US"/>
        </w:rPr>
        <w:t xml:space="preserve">-  </w:t>
      </w:r>
      <w:r w:rsidR="00F70243">
        <w:rPr>
          <w:rFonts w:hint="eastAsia"/>
          <w:lang w:val="en-US"/>
        </w:rPr>
        <w:t>T</w:t>
      </w:r>
      <w:r>
        <w:rPr>
          <w:rFonts w:hint="eastAsia"/>
          <w:lang w:val="en-US"/>
        </w:rPr>
        <w:t xml:space="preserve">he IAB MT is </w:t>
      </w:r>
      <w:r>
        <w:rPr>
          <w:lang w:val="en-US"/>
        </w:rPr>
        <w:t>explicitly indicated</w:t>
      </w:r>
      <w:r>
        <w:rPr>
          <w:rFonts w:hint="eastAsia"/>
          <w:lang w:val="en-US"/>
        </w:rPr>
        <w:t xml:space="preserve"> </w:t>
      </w:r>
      <w:r>
        <w:rPr>
          <w:lang w:val="en-US"/>
        </w:rPr>
        <w:t>as IA by DCI 2_5 from the CG that the serving cell belongs to</w:t>
      </w:r>
    </w:p>
    <w:p w:rsidR="00B176DE" w:rsidRPr="00F70243" w:rsidRDefault="00F73184" w:rsidP="00F70243">
      <w:pPr>
        <w:spacing w:before="120" w:after="120"/>
        <w:rPr>
          <w:rFonts w:cs="Times" w:hint="eastAsia"/>
        </w:rPr>
      </w:pPr>
      <w:r>
        <w:rPr>
          <w:rFonts w:cs="Times" w:hint="eastAsia"/>
        </w:rPr>
        <w:t>And a</w:t>
      </w:r>
      <w:r>
        <w:rPr>
          <w:rFonts w:cs="Times"/>
        </w:rPr>
        <w:t xml:space="preserve"> per-cell IAB-DU soft resource is considered as available if the resource is either explicitly indicated (via DCI 2_5), or implicitly d</w:t>
      </w:r>
      <w:r>
        <w:rPr>
          <w:rFonts w:cs="Times"/>
        </w:rPr>
        <w:t xml:space="preserve">etermined as available with respect to all </w:t>
      </w:r>
      <w:r>
        <w:rPr>
          <w:rFonts w:cs="Times" w:hint="eastAsia"/>
        </w:rPr>
        <w:t xml:space="preserve">IAB MT </w:t>
      </w:r>
      <w:r>
        <w:rPr>
          <w:rFonts w:cs="Times"/>
        </w:rPr>
        <w:t>serving cells</w:t>
      </w:r>
    </w:p>
    <w:p w:rsidR="00B176DE" w:rsidRDefault="00F73184">
      <w:pPr>
        <w:pStyle w:val="YJ-Proposal"/>
        <w:spacing w:before="120" w:after="120"/>
        <w:rPr>
          <w:lang w:val="en-US" w:eastAsia="zh-CN"/>
        </w:rPr>
      </w:pPr>
      <w:bookmarkStart w:id="157" w:name="_Toc27554"/>
      <w:bookmarkStart w:id="158" w:name="_Toc79164592"/>
      <w:r>
        <w:rPr>
          <w:rFonts w:hint="eastAsia"/>
          <w:lang w:val="en-US" w:eastAsia="zh-CN"/>
        </w:rPr>
        <w:t>F</w:t>
      </w:r>
      <w:r>
        <w:rPr>
          <w:rFonts w:hint="eastAsia"/>
          <w:lang w:val="en-US" w:eastAsia="zh-CN"/>
        </w:rPr>
        <w:t xml:space="preserve">or explicitly availability indication case, </w:t>
      </w:r>
      <w:r>
        <w:rPr>
          <w:lang w:val="en-US" w:eastAsia="zh-CN"/>
        </w:rPr>
        <w:t xml:space="preserve">a per-cell IAB-DU soft resource is considered as available </w:t>
      </w:r>
      <w:r>
        <w:rPr>
          <w:rFonts w:hint="eastAsia"/>
          <w:lang w:val="en-US" w:eastAsia="zh-CN"/>
        </w:rPr>
        <w:t xml:space="preserve">with </w:t>
      </w:r>
      <w:r>
        <w:rPr>
          <w:lang w:val="en-US" w:eastAsia="zh-CN"/>
        </w:rPr>
        <w:t>respect to a IAB MT serving cell</w:t>
      </w:r>
      <w:r>
        <w:rPr>
          <w:rFonts w:hint="eastAsia"/>
          <w:lang w:val="en-US" w:eastAsia="zh-CN"/>
        </w:rPr>
        <w:t xml:space="preserve"> only if the IAB MT is </w:t>
      </w:r>
      <w:r>
        <w:rPr>
          <w:lang w:val="en-US" w:eastAsia="zh-CN"/>
        </w:rPr>
        <w:t>explicitly indicated</w:t>
      </w:r>
      <w:r>
        <w:rPr>
          <w:rFonts w:hint="eastAsia"/>
          <w:lang w:val="en-US" w:eastAsia="zh-CN"/>
        </w:rPr>
        <w:t xml:space="preserve"> </w:t>
      </w:r>
      <w:r>
        <w:rPr>
          <w:lang w:val="en-US" w:eastAsia="zh-CN"/>
        </w:rPr>
        <w:t xml:space="preserve">as IA </w:t>
      </w:r>
      <w:r>
        <w:rPr>
          <w:lang w:val="en-US" w:eastAsia="zh-CN"/>
        </w:rPr>
        <w:t>by DCI 2_5 from the CG that the serving cell belongs to</w:t>
      </w:r>
      <w:r>
        <w:rPr>
          <w:rFonts w:hint="eastAsia"/>
          <w:lang w:val="en-US" w:eastAsia="zh-CN"/>
        </w:rPr>
        <w:t>.</w:t>
      </w:r>
      <w:bookmarkEnd w:id="157"/>
      <w:bookmarkEnd w:id="158"/>
    </w:p>
    <w:p w:rsidR="00B176DE" w:rsidRDefault="00B176DE">
      <w:pPr>
        <w:spacing w:beforeLines="0" w:afterLines="0" w:line="259" w:lineRule="auto"/>
        <w:rPr>
          <w:sz w:val="20"/>
        </w:rPr>
      </w:pPr>
    </w:p>
    <w:p w:rsidR="00B176DE" w:rsidRDefault="00F73184">
      <w:pPr>
        <w:pStyle w:val="1"/>
        <w:spacing w:before="120" w:after="120"/>
        <w:ind w:left="0"/>
        <w:rPr>
          <w:rFonts w:cs="Arial"/>
          <w:szCs w:val="32"/>
        </w:rPr>
      </w:pPr>
      <w:r>
        <w:rPr>
          <w:rFonts w:cs="Arial"/>
          <w:szCs w:val="32"/>
        </w:rPr>
        <w:t>Conclusion</w:t>
      </w:r>
    </w:p>
    <w:p w:rsidR="00B176DE" w:rsidRDefault="00F73184">
      <w:pPr>
        <w:spacing w:before="120" w:after="120"/>
        <w:rPr>
          <w:sz w:val="20"/>
        </w:rPr>
      </w:pPr>
      <w:r>
        <w:rPr>
          <w:sz w:val="20"/>
        </w:rPr>
        <w:t>According to the discussion above, we provide the following observations and proposals on resource multiplexing of IAB:</w:t>
      </w:r>
    </w:p>
    <w:p w:rsidR="00F73184" w:rsidRDefault="00F73184">
      <w:pPr>
        <w:pStyle w:val="10"/>
        <w:tabs>
          <w:tab w:val="left" w:pos="1470"/>
        </w:tabs>
        <w:spacing w:before="120" w:after="120"/>
        <w:rPr>
          <w:rFonts w:asciiTheme="minorHAnsi" w:hAnsiTheme="minorHAnsi" w:cstheme="minorBidi"/>
          <w:b w:val="0"/>
          <w:bCs w:val="0"/>
          <w:i w:val="0"/>
          <w:iCs w:val="0"/>
          <w:noProof/>
          <w:sz w:val="21"/>
          <w:szCs w:val="22"/>
        </w:rPr>
      </w:pPr>
      <w:r>
        <w:fldChar w:fldCharType="begin"/>
      </w:r>
      <w:r>
        <w:instrText>TOC \n  \t "</w:instrText>
      </w:r>
      <w:r>
        <w:instrText>YJ-Observation,1,sub-observation,2,3rd level observation,3" \h</w:instrText>
      </w:r>
      <w:r>
        <w:fldChar w:fldCharType="separate"/>
      </w:r>
      <w:hyperlink w:anchor="_Toc79164566" w:history="1">
        <w:r w:rsidRPr="00467016">
          <w:rPr>
            <w:rStyle w:val="ae"/>
            <w:rFonts w:eastAsia="宋体"/>
            <w:noProof/>
          </w:rPr>
          <w:t>Observation 1:</w:t>
        </w:r>
        <w:r>
          <w:rPr>
            <w:rFonts w:asciiTheme="minorHAnsi" w:hAnsiTheme="minorHAnsi" w:cstheme="minorBidi"/>
            <w:b w:val="0"/>
            <w:bCs w:val="0"/>
            <w:i w:val="0"/>
            <w:iCs w:val="0"/>
            <w:noProof/>
            <w:sz w:val="21"/>
            <w:szCs w:val="22"/>
          </w:rPr>
          <w:tab/>
        </w:r>
        <w:r w:rsidRPr="00467016">
          <w:rPr>
            <w:rStyle w:val="ae"/>
            <w:noProof/>
          </w:rPr>
          <w:t xml:space="preserve">It may aggravate interference and resource collision if a given resource were applied with both Rel-16 H/S/NA and </w:t>
        </w:r>
        <w:r w:rsidRPr="00467016">
          <w:rPr>
            <w:rStyle w:val="ae"/>
            <w:rFonts w:cs="Times"/>
            <w:noProof/>
          </w:rPr>
          <w:t>frequency-domain H/S/NA</w:t>
        </w:r>
        <w:r w:rsidRPr="00467016">
          <w:rPr>
            <w:rStyle w:val="ae"/>
            <w:noProof/>
          </w:rPr>
          <w:t>.</w:t>
        </w:r>
      </w:hyperlink>
    </w:p>
    <w:p w:rsidR="00F73184" w:rsidRDefault="00F73184">
      <w:pPr>
        <w:pStyle w:val="10"/>
        <w:tabs>
          <w:tab w:val="left" w:pos="1470"/>
        </w:tabs>
        <w:spacing w:before="120" w:after="120"/>
        <w:rPr>
          <w:rFonts w:asciiTheme="minorHAnsi" w:hAnsiTheme="minorHAnsi" w:cstheme="minorBidi"/>
          <w:b w:val="0"/>
          <w:bCs w:val="0"/>
          <w:i w:val="0"/>
          <w:iCs w:val="0"/>
          <w:noProof/>
          <w:sz w:val="21"/>
          <w:szCs w:val="22"/>
        </w:rPr>
      </w:pPr>
      <w:hyperlink w:anchor="_Toc79164567" w:history="1">
        <w:r w:rsidRPr="00467016">
          <w:rPr>
            <w:rStyle w:val="ae"/>
            <w:rFonts w:eastAsia="宋体"/>
            <w:noProof/>
          </w:rPr>
          <w:t>Observation 2:</w:t>
        </w:r>
        <w:r>
          <w:rPr>
            <w:rFonts w:asciiTheme="minorHAnsi" w:hAnsiTheme="minorHAnsi" w:cstheme="minorBidi"/>
            <w:b w:val="0"/>
            <w:bCs w:val="0"/>
            <w:i w:val="0"/>
            <w:iCs w:val="0"/>
            <w:noProof/>
            <w:sz w:val="21"/>
            <w:szCs w:val="22"/>
          </w:rPr>
          <w:tab/>
        </w:r>
        <w:r w:rsidRPr="00467016">
          <w:rPr>
            <w:rStyle w:val="ae"/>
            <w:noProof/>
          </w:rPr>
          <w:t>Semi-static H/S/NA configuration is not applicable for SDM due to time-variant channel conditions.</w:t>
        </w:r>
      </w:hyperlink>
    </w:p>
    <w:p w:rsidR="00B176DE" w:rsidRDefault="00F73184">
      <w:pPr>
        <w:spacing w:before="120" w:after="120"/>
        <w:rPr>
          <w:sz w:val="20"/>
        </w:rPr>
      </w:pPr>
      <w:r>
        <w:fldChar w:fldCharType="end"/>
      </w:r>
    </w:p>
    <w:bookmarkStart w:id="159" w:name="_GoBack"/>
    <w:bookmarkEnd w:id="159"/>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r>
        <w:fldChar w:fldCharType="begin"/>
      </w:r>
      <w:r>
        <w:instrText>TOC \n  \t "YJ-Proposal,1,sub-proposal,2,3rd level proposal,3" \h</w:instrText>
      </w:r>
      <w:r>
        <w:fldChar w:fldCharType="separate"/>
      </w:r>
      <w:hyperlink w:anchor="_Toc79164569" w:history="1">
        <w:r w:rsidRPr="00855F5D">
          <w:rPr>
            <w:rStyle w:val="ae"/>
            <w:rFonts w:eastAsia="宋体"/>
            <w:noProof/>
          </w:rPr>
          <w:t>Proposal 1:</w:t>
        </w:r>
        <w:r>
          <w:rPr>
            <w:rFonts w:asciiTheme="minorHAnsi" w:hAnsiTheme="minorHAnsi" w:cstheme="minorBidi"/>
            <w:b w:val="0"/>
            <w:bCs w:val="0"/>
            <w:i w:val="0"/>
            <w:iCs w:val="0"/>
            <w:noProof/>
            <w:sz w:val="21"/>
            <w:szCs w:val="22"/>
          </w:rPr>
          <w:tab/>
        </w:r>
        <w:r w:rsidRPr="00855F5D">
          <w:rPr>
            <w:rStyle w:val="ae"/>
            <w:noProof/>
          </w:rPr>
          <w:t>For t</w:t>
        </w:r>
        <w:r w:rsidRPr="00855F5D">
          <w:rPr>
            <w:rStyle w:val="ae"/>
            <w:rFonts w:cs="Times"/>
            <w:noProof/>
          </w:rPr>
          <w:t>he minimum resource size (a set of N RBs) for configuring the frequency domain granularity,</w:t>
        </w:r>
      </w:hyperlink>
    </w:p>
    <w:p w:rsidR="00F73184" w:rsidRDefault="00F73184">
      <w:pPr>
        <w:pStyle w:val="10"/>
        <w:tabs>
          <w:tab w:val="left" w:pos="862"/>
        </w:tabs>
        <w:spacing w:before="120" w:after="120"/>
        <w:rPr>
          <w:rFonts w:asciiTheme="minorHAnsi" w:hAnsiTheme="minorHAnsi" w:cstheme="minorBidi"/>
          <w:b w:val="0"/>
          <w:bCs w:val="0"/>
          <w:i w:val="0"/>
          <w:iCs w:val="0"/>
          <w:noProof/>
          <w:sz w:val="21"/>
          <w:szCs w:val="22"/>
        </w:rPr>
      </w:pPr>
      <w:hyperlink w:anchor="_Toc79164570" w:history="1">
        <w:r w:rsidRPr="00855F5D">
          <w:rPr>
            <w:rStyle w:val="ae"/>
            <w:rFonts w:ascii="Arial" w:eastAsia="宋体" w:hAnsi="Arial" w:cs="Arial"/>
            <w:noProof/>
          </w:rPr>
          <w:t>•</w:t>
        </w:r>
        <w:r>
          <w:rPr>
            <w:rFonts w:asciiTheme="minorHAnsi" w:hAnsiTheme="minorHAnsi" w:cstheme="minorBidi"/>
            <w:b w:val="0"/>
            <w:bCs w:val="0"/>
            <w:i w:val="0"/>
            <w:iCs w:val="0"/>
            <w:noProof/>
            <w:sz w:val="21"/>
            <w:szCs w:val="22"/>
          </w:rPr>
          <w:tab/>
        </w:r>
        <w:r w:rsidRPr="00855F5D">
          <w:rPr>
            <w:rStyle w:val="ae"/>
            <w:rFonts w:cs="Times"/>
            <w:noProof/>
          </w:rPr>
          <w:t>Candidate values for N can be 1, 4, 8, 16.</w:t>
        </w:r>
      </w:hyperlink>
    </w:p>
    <w:p w:rsidR="00F73184" w:rsidRDefault="00F73184">
      <w:pPr>
        <w:pStyle w:val="10"/>
        <w:tabs>
          <w:tab w:val="left" w:pos="862"/>
        </w:tabs>
        <w:spacing w:before="120" w:after="120"/>
        <w:rPr>
          <w:rFonts w:asciiTheme="minorHAnsi" w:hAnsiTheme="minorHAnsi" w:cstheme="minorBidi"/>
          <w:b w:val="0"/>
          <w:bCs w:val="0"/>
          <w:i w:val="0"/>
          <w:iCs w:val="0"/>
          <w:noProof/>
          <w:sz w:val="21"/>
          <w:szCs w:val="22"/>
        </w:rPr>
      </w:pPr>
      <w:hyperlink w:anchor="_Toc79164571" w:history="1">
        <w:r w:rsidRPr="00855F5D">
          <w:rPr>
            <w:rStyle w:val="ae"/>
            <w:rFonts w:ascii="Arial" w:eastAsia="宋体" w:hAnsi="Arial" w:cs="Arial"/>
            <w:noProof/>
          </w:rPr>
          <w:t>•</w:t>
        </w:r>
        <w:r>
          <w:rPr>
            <w:rFonts w:asciiTheme="minorHAnsi" w:hAnsiTheme="minorHAnsi" w:cstheme="minorBidi"/>
            <w:b w:val="0"/>
            <w:bCs w:val="0"/>
            <w:i w:val="0"/>
            <w:iCs w:val="0"/>
            <w:noProof/>
            <w:sz w:val="21"/>
            <w:szCs w:val="22"/>
          </w:rPr>
          <w:tab/>
        </w:r>
        <w:r w:rsidRPr="00855F5D">
          <w:rPr>
            <w:rStyle w:val="ae"/>
            <w:rFonts w:cs="Times"/>
            <w:noProof/>
          </w:rPr>
          <w:t>It is up to CU implementation how to set the actual value of N.</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72" w:history="1">
        <w:r w:rsidRPr="00855F5D">
          <w:rPr>
            <w:rStyle w:val="ae"/>
            <w:rFonts w:eastAsia="宋体"/>
            <w:noProof/>
          </w:rPr>
          <w:t>Proposal 2:</w:t>
        </w:r>
        <w:r>
          <w:rPr>
            <w:rFonts w:asciiTheme="minorHAnsi" w:hAnsiTheme="minorHAnsi" w:cstheme="minorBidi"/>
            <w:b w:val="0"/>
            <w:bCs w:val="0"/>
            <w:i w:val="0"/>
            <w:iCs w:val="0"/>
            <w:noProof/>
            <w:sz w:val="21"/>
            <w:szCs w:val="22"/>
          </w:rPr>
          <w:tab/>
        </w:r>
        <w:r w:rsidRPr="00855F5D">
          <w:rPr>
            <w:rStyle w:val="ae"/>
            <w:rFonts w:cs="Times"/>
            <w:noProof/>
          </w:rPr>
          <w:t>Frequency-domain H/S/NA</w:t>
        </w:r>
        <w:r w:rsidRPr="00855F5D">
          <w:rPr>
            <w:rStyle w:val="ae"/>
            <w:noProof/>
          </w:rPr>
          <w:t xml:space="preserve"> should be configured per RB set within a carrier.</w:t>
        </w:r>
      </w:hyperlink>
    </w:p>
    <w:p w:rsidR="00F73184" w:rsidRDefault="00F73184">
      <w:pPr>
        <w:pStyle w:val="10"/>
        <w:tabs>
          <w:tab w:val="left" w:pos="862"/>
        </w:tabs>
        <w:spacing w:before="120" w:after="120"/>
        <w:rPr>
          <w:rFonts w:asciiTheme="minorHAnsi" w:hAnsiTheme="minorHAnsi" w:cstheme="minorBidi"/>
          <w:b w:val="0"/>
          <w:bCs w:val="0"/>
          <w:i w:val="0"/>
          <w:iCs w:val="0"/>
          <w:noProof/>
          <w:sz w:val="21"/>
          <w:szCs w:val="22"/>
        </w:rPr>
      </w:pPr>
      <w:hyperlink w:anchor="_Toc79164573" w:history="1">
        <w:r w:rsidRPr="00855F5D">
          <w:rPr>
            <w:rStyle w:val="ae"/>
            <w:rFonts w:ascii="Arial" w:eastAsia="宋体" w:hAnsi="Arial" w:cs="Arial"/>
            <w:noProof/>
          </w:rPr>
          <w:t>•</w:t>
        </w:r>
        <w:r>
          <w:rPr>
            <w:rFonts w:asciiTheme="minorHAnsi" w:hAnsiTheme="minorHAnsi" w:cstheme="minorBidi"/>
            <w:b w:val="0"/>
            <w:bCs w:val="0"/>
            <w:i w:val="0"/>
            <w:iCs w:val="0"/>
            <w:noProof/>
            <w:sz w:val="21"/>
            <w:szCs w:val="22"/>
          </w:rPr>
          <w:tab/>
        </w:r>
        <w:r w:rsidRPr="00855F5D">
          <w:rPr>
            <w:rStyle w:val="ae"/>
            <w:noProof/>
          </w:rPr>
          <w:t>One RB set is configured as a multiple of N RBs.</w:t>
        </w:r>
      </w:hyperlink>
    </w:p>
    <w:p w:rsidR="00F73184" w:rsidRDefault="00F73184">
      <w:pPr>
        <w:pStyle w:val="10"/>
        <w:tabs>
          <w:tab w:val="left" w:pos="862"/>
        </w:tabs>
        <w:spacing w:before="120" w:after="120"/>
        <w:rPr>
          <w:rFonts w:asciiTheme="minorHAnsi" w:hAnsiTheme="minorHAnsi" w:cstheme="minorBidi"/>
          <w:b w:val="0"/>
          <w:bCs w:val="0"/>
          <w:i w:val="0"/>
          <w:iCs w:val="0"/>
          <w:noProof/>
          <w:sz w:val="21"/>
          <w:szCs w:val="22"/>
        </w:rPr>
      </w:pPr>
      <w:hyperlink w:anchor="_Toc79164574" w:history="1">
        <w:r w:rsidRPr="00855F5D">
          <w:rPr>
            <w:rStyle w:val="ae"/>
            <w:rFonts w:ascii="Arial" w:eastAsia="宋体" w:hAnsi="Arial" w:cs="Arial"/>
            <w:noProof/>
          </w:rPr>
          <w:t>•</w:t>
        </w:r>
        <w:r>
          <w:rPr>
            <w:rFonts w:asciiTheme="minorHAnsi" w:hAnsiTheme="minorHAnsi" w:cstheme="minorBidi"/>
            <w:b w:val="0"/>
            <w:bCs w:val="0"/>
            <w:i w:val="0"/>
            <w:iCs w:val="0"/>
            <w:noProof/>
            <w:sz w:val="21"/>
            <w:szCs w:val="22"/>
          </w:rPr>
          <w:tab/>
        </w:r>
        <w:r w:rsidRPr="00855F5D">
          <w:rPr>
            <w:rStyle w:val="ae"/>
            <w:noProof/>
          </w:rPr>
          <w:t>Each RB set is defined based on a reference carrier/SCS, FFS how to determine the reference carrier/SCS of a DU cell.</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75" w:history="1">
        <w:r w:rsidRPr="00855F5D">
          <w:rPr>
            <w:rStyle w:val="ae"/>
            <w:rFonts w:eastAsia="宋体"/>
            <w:noProof/>
          </w:rPr>
          <w:t>Proposal 3:</w:t>
        </w:r>
        <w:r>
          <w:rPr>
            <w:rFonts w:asciiTheme="minorHAnsi" w:hAnsiTheme="minorHAnsi" w:cstheme="minorBidi"/>
            <w:b w:val="0"/>
            <w:bCs w:val="0"/>
            <w:i w:val="0"/>
            <w:iCs w:val="0"/>
            <w:noProof/>
            <w:sz w:val="21"/>
            <w:szCs w:val="22"/>
          </w:rPr>
          <w:tab/>
        </w:r>
        <w:r w:rsidRPr="00855F5D">
          <w:rPr>
            <w:rStyle w:val="ae"/>
            <w:noProof/>
          </w:rPr>
          <w:t xml:space="preserve">For a given resource of an IAB DU cell, IAB node can be configured with either Rel-16 H/S/NA or </w:t>
        </w:r>
        <w:r w:rsidRPr="00855F5D">
          <w:rPr>
            <w:rStyle w:val="ae"/>
            <w:rFonts w:cs="Times"/>
            <w:noProof/>
          </w:rPr>
          <w:t>frequency-domain H/S/NA</w:t>
        </w:r>
        <w:r w:rsidRPr="00855F5D">
          <w:rPr>
            <w:rStyle w:val="ae"/>
            <w:noProof/>
          </w:rPr>
          <w: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76" w:history="1">
        <w:r w:rsidRPr="00855F5D">
          <w:rPr>
            <w:rStyle w:val="ae"/>
            <w:rFonts w:eastAsia="宋体"/>
            <w:noProof/>
          </w:rPr>
          <w:t>Proposal 4:</w:t>
        </w:r>
        <w:r>
          <w:rPr>
            <w:rFonts w:asciiTheme="minorHAnsi" w:hAnsiTheme="minorHAnsi" w:cstheme="minorBidi"/>
            <w:b w:val="0"/>
            <w:bCs w:val="0"/>
            <w:i w:val="0"/>
            <w:iCs w:val="0"/>
            <w:noProof/>
            <w:sz w:val="21"/>
            <w:szCs w:val="22"/>
          </w:rPr>
          <w:tab/>
        </w:r>
        <w:r w:rsidRPr="00855F5D">
          <w:rPr>
            <w:rStyle w:val="ae"/>
            <w:rFonts w:cs="Times"/>
            <w:noProof/>
          </w:rPr>
          <w:t>Rel-16 DCI Format 2_5 is reused to indicate soft resource availability for TDM and FDM slots:</w:t>
        </w:r>
      </w:hyperlink>
    </w:p>
    <w:p w:rsidR="00F73184" w:rsidRDefault="00F73184">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79164577" w:history="1">
        <w:r w:rsidRPr="00855F5D">
          <w:rPr>
            <w:rStyle w:val="ae"/>
            <w:rFonts w:ascii="Arial" w:hAnsi="Arial" w:cs="Arial"/>
            <w:noProof/>
          </w:rPr>
          <w:t>•</w:t>
        </w:r>
        <w:r>
          <w:rPr>
            <w:rFonts w:asciiTheme="minorHAnsi" w:eastAsiaTheme="minorEastAsia" w:hAnsiTheme="minorHAnsi" w:cstheme="minorBidi"/>
            <w:b w:val="0"/>
            <w:i w:val="0"/>
            <w:noProof/>
            <w:sz w:val="21"/>
            <w:szCs w:val="22"/>
          </w:rPr>
          <w:tab/>
        </w:r>
        <w:r w:rsidRPr="00855F5D">
          <w:rPr>
            <w:rStyle w:val="ae"/>
            <w:rFonts w:cs="Times"/>
            <w:noProof/>
          </w:rPr>
          <w:t xml:space="preserve">For TDM slot, </w:t>
        </w:r>
        <w:r w:rsidRPr="00855F5D">
          <w:rPr>
            <w:rStyle w:val="ae"/>
            <w:noProof/>
          </w:rPr>
          <w:t xml:space="preserve">availability indication is valid </w:t>
        </w:r>
        <w:r w:rsidRPr="00855F5D">
          <w:rPr>
            <w:rStyle w:val="ae"/>
            <w:rFonts w:cs="Times"/>
            <w:noProof/>
          </w:rPr>
          <w:t>for all soft symbols in the slot</w:t>
        </w:r>
      </w:hyperlink>
    </w:p>
    <w:p w:rsidR="00F73184" w:rsidRDefault="00F73184">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79164578" w:history="1">
        <w:r w:rsidRPr="00855F5D">
          <w:rPr>
            <w:rStyle w:val="ae"/>
            <w:rFonts w:ascii="Arial" w:hAnsi="Arial" w:cs="Arial"/>
            <w:noProof/>
          </w:rPr>
          <w:t>•</w:t>
        </w:r>
        <w:r>
          <w:rPr>
            <w:rFonts w:asciiTheme="minorHAnsi" w:eastAsiaTheme="minorEastAsia" w:hAnsiTheme="minorHAnsi" w:cstheme="minorBidi"/>
            <w:b w:val="0"/>
            <w:i w:val="0"/>
            <w:noProof/>
            <w:sz w:val="21"/>
            <w:szCs w:val="22"/>
          </w:rPr>
          <w:tab/>
        </w:r>
        <w:r w:rsidRPr="00855F5D">
          <w:rPr>
            <w:rStyle w:val="ae"/>
            <w:rFonts w:cs="Times"/>
            <w:noProof/>
          </w:rPr>
          <w:t xml:space="preserve">For FDM slot, </w:t>
        </w:r>
        <w:r w:rsidRPr="00855F5D">
          <w:rPr>
            <w:rStyle w:val="ae"/>
            <w:noProof/>
          </w:rPr>
          <w:t>availability indication</w:t>
        </w:r>
        <w:r w:rsidRPr="00855F5D">
          <w:rPr>
            <w:rStyle w:val="ae"/>
            <w:rFonts w:cs="Times"/>
            <w:noProof/>
          </w:rPr>
          <w:t xml:space="preserve"> is only valid for all soft resource in the slot</w:t>
        </w:r>
        <w:r w:rsidRPr="00855F5D">
          <w:rPr>
            <w:rStyle w:val="ae"/>
            <w:noProof/>
          </w:rPr>
          <w: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79" w:history="1">
        <w:r w:rsidRPr="00855F5D">
          <w:rPr>
            <w:rStyle w:val="ae"/>
            <w:rFonts w:eastAsia="宋体"/>
            <w:noProof/>
          </w:rPr>
          <w:t>Proposal 5:</w:t>
        </w:r>
        <w:r>
          <w:rPr>
            <w:rFonts w:asciiTheme="minorHAnsi" w:hAnsiTheme="minorHAnsi" w:cstheme="minorBidi"/>
            <w:b w:val="0"/>
            <w:bCs w:val="0"/>
            <w:i w:val="0"/>
            <w:iCs w:val="0"/>
            <w:noProof/>
            <w:sz w:val="21"/>
            <w:szCs w:val="22"/>
          </w:rPr>
          <w:tab/>
        </w:r>
        <w:r w:rsidRPr="00855F5D">
          <w:rPr>
            <w:rStyle w:val="ae"/>
            <w:rFonts w:cs="Times"/>
            <w:noProof/>
          </w:rPr>
          <w:t>Additional enhancements to DCI Format 2_5 are not necessary</w:t>
        </w:r>
        <w:r w:rsidRPr="00855F5D">
          <w:rPr>
            <w:rStyle w:val="ae"/>
            <w:noProof/>
          </w:rPr>
          <w: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0" w:history="1">
        <w:r w:rsidRPr="00855F5D">
          <w:rPr>
            <w:rStyle w:val="ae"/>
            <w:rFonts w:eastAsia="宋体"/>
            <w:noProof/>
          </w:rPr>
          <w:t>Proposal 6:</w:t>
        </w:r>
        <w:r>
          <w:rPr>
            <w:rFonts w:asciiTheme="minorHAnsi" w:hAnsiTheme="minorHAnsi" w:cstheme="minorBidi"/>
            <w:b w:val="0"/>
            <w:bCs w:val="0"/>
            <w:i w:val="0"/>
            <w:iCs w:val="0"/>
            <w:noProof/>
            <w:sz w:val="21"/>
            <w:szCs w:val="22"/>
          </w:rPr>
          <w:tab/>
        </w:r>
        <w:r w:rsidRPr="00855F5D">
          <w:rPr>
            <w:rStyle w:val="ae"/>
            <w:noProof/>
          </w:rPr>
          <w:t>It is sufficient to indicate the one of the preferred beams and the not preferred beams for IAB node MT, and it is not necessary to indicate both of them at the same time.</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1" w:history="1">
        <w:r w:rsidRPr="00855F5D">
          <w:rPr>
            <w:rStyle w:val="ae"/>
            <w:rFonts w:eastAsia="宋体"/>
            <w:noProof/>
          </w:rPr>
          <w:t>Proposal 7:</w:t>
        </w:r>
        <w:r>
          <w:rPr>
            <w:rFonts w:asciiTheme="minorHAnsi" w:hAnsiTheme="minorHAnsi" w:cstheme="minorBidi"/>
            <w:b w:val="0"/>
            <w:bCs w:val="0"/>
            <w:i w:val="0"/>
            <w:iCs w:val="0"/>
            <w:noProof/>
            <w:sz w:val="21"/>
            <w:szCs w:val="22"/>
          </w:rPr>
          <w:tab/>
        </w:r>
        <w:r w:rsidRPr="00855F5D">
          <w:rPr>
            <w:rStyle w:val="ae"/>
            <w:noProof/>
          </w:rPr>
          <w:t>It is not necessary to limit the applicability of beam indication to specific multiplexing cases or time-frequency resources.</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2" w:history="1">
        <w:r w:rsidRPr="00855F5D">
          <w:rPr>
            <w:rStyle w:val="ae"/>
            <w:rFonts w:eastAsia="宋体"/>
            <w:noProof/>
          </w:rPr>
          <w:t>Proposal 8:</w:t>
        </w:r>
        <w:r>
          <w:rPr>
            <w:rFonts w:asciiTheme="minorHAnsi" w:hAnsiTheme="minorHAnsi" w:cstheme="minorBidi"/>
            <w:b w:val="0"/>
            <w:bCs w:val="0"/>
            <w:i w:val="0"/>
            <w:iCs w:val="0"/>
            <w:noProof/>
            <w:sz w:val="21"/>
            <w:szCs w:val="22"/>
          </w:rPr>
          <w:tab/>
        </w:r>
        <w:r w:rsidRPr="00855F5D">
          <w:rPr>
            <w:rStyle w:val="ae"/>
            <w:noProof/>
          </w:rPr>
          <w:t>H/S/NA configuration per beam (i.e. additional semi-static configuration signaling) is not supported.</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3" w:history="1">
        <w:r w:rsidRPr="00855F5D">
          <w:rPr>
            <w:rStyle w:val="ae"/>
            <w:rFonts w:eastAsia="宋体"/>
            <w:noProof/>
          </w:rPr>
          <w:t>Proposal 9:</w:t>
        </w:r>
        <w:r>
          <w:rPr>
            <w:rFonts w:asciiTheme="minorHAnsi" w:hAnsiTheme="minorHAnsi" w:cstheme="minorBidi"/>
            <w:b w:val="0"/>
            <w:bCs w:val="0"/>
            <w:i w:val="0"/>
            <w:iCs w:val="0"/>
            <w:noProof/>
            <w:sz w:val="21"/>
            <w:szCs w:val="22"/>
          </w:rPr>
          <w:tab/>
        </w:r>
        <w:r w:rsidRPr="00855F5D">
          <w:rPr>
            <w:rStyle w:val="ae"/>
            <w:noProof/>
          </w:rPr>
          <w:t>Per-panel granularity for resource management in the spatial domain is not supported.</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4" w:history="1">
        <w:r w:rsidRPr="00855F5D">
          <w:rPr>
            <w:rStyle w:val="ae"/>
            <w:rFonts w:eastAsia="宋体"/>
            <w:noProof/>
          </w:rPr>
          <w:t>Proposal 10:</w:t>
        </w:r>
        <w:r>
          <w:rPr>
            <w:rFonts w:asciiTheme="minorHAnsi" w:hAnsiTheme="minorHAnsi" w:cstheme="minorBidi"/>
            <w:b w:val="0"/>
            <w:bCs w:val="0"/>
            <w:i w:val="0"/>
            <w:iCs w:val="0"/>
            <w:noProof/>
            <w:sz w:val="21"/>
            <w:szCs w:val="22"/>
          </w:rPr>
          <w:tab/>
        </w:r>
        <w:r w:rsidRPr="00855F5D">
          <w:rPr>
            <w:rStyle w:val="ae"/>
            <w:noProof/>
          </w:rPr>
          <w:t xml:space="preserve">Different beam indications (i.e. </w:t>
        </w:r>
        <w:r w:rsidRPr="00855F5D">
          <w:rPr>
            <w:rStyle w:val="ae"/>
            <w:rFonts w:cs="Times"/>
            <w:noProof/>
          </w:rPr>
          <w:t>child IAB-MT beam indication and parent IAB-DU beam indication</w:t>
        </w:r>
        <w:r w:rsidRPr="00855F5D">
          <w:rPr>
            <w:rStyle w:val="ae"/>
            <w:noProof/>
          </w:rPr>
          <w:t>) are applied to different links, i.e. backhaul link and access link of an IAB node.</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5" w:history="1">
        <w:r w:rsidRPr="00855F5D">
          <w:rPr>
            <w:rStyle w:val="ae"/>
            <w:rFonts w:eastAsia="宋体"/>
            <w:noProof/>
          </w:rPr>
          <w:t>Proposal 11:</w:t>
        </w:r>
        <w:r>
          <w:rPr>
            <w:rFonts w:asciiTheme="minorHAnsi" w:hAnsiTheme="minorHAnsi" w:cstheme="minorBidi"/>
            <w:b w:val="0"/>
            <w:bCs w:val="0"/>
            <w:i w:val="0"/>
            <w:iCs w:val="0"/>
            <w:noProof/>
            <w:sz w:val="21"/>
            <w:szCs w:val="22"/>
          </w:rPr>
          <w:tab/>
        </w:r>
        <w:r w:rsidRPr="00855F5D">
          <w:rPr>
            <w:rStyle w:val="ae"/>
            <w:rFonts w:cs="Times"/>
            <w:noProof/>
          </w:rPr>
          <w:t>Rel-16 guard symbols mechanism is reused in Rel-17 IAB</w:t>
        </w:r>
        <w:r w:rsidRPr="00855F5D">
          <w:rPr>
            <w:rStyle w:val="ae"/>
            <w:noProof/>
          </w:rPr>
          <w: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6" w:history="1">
        <w:r w:rsidRPr="00855F5D">
          <w:rPr>
            <w:rStyle w:val="ae"/>
            <w:rFonts w:eastAsia="宋体"/>
            <w:noProof/>
          </w:rPr>
          <w:t>Proposal 12:</w:t>
        </w:r>
        <w:r>
          <w:rPr>
            <w:rFonts w:asciiTheme="minorHAnsi" w:hAnsiTheme="minorHAnsi" w:cstheme="minorBidi"/>
            <w:b w:val="0"/>
            <w:bCs w:val="0"/>
            <w:i w:val="0"/>
            <w:iCs w:val="0"/>
            <w:noProof/>
            <w:sz w:val="21"/>
            <w:szCs w:val="22"/>
          </w:rPr>
          <w:tab/>
        </w:r>
        <w:r w:rsidRPr="00855F5D">
          <w:rPr>
            <w:rStyle w:val="ae"/>
            <w:rFonts w:cs="Times"/>
            <w:noProof/>
          </w:rPr>
          <w:t>Guard band for FDM between backhaul link and access link at an IAB node depends on implementation</w:t>
        </w:r>
        <w:r w:rsidRPr="00855F5D">
          <w:rPr>
            <w:rStyle w:val="ae"/>
            <w:noProof/>
          </w:rPr>
          <w: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87" w:history="1">
        <w:r w:rsidRPr="00855F5D">
          <w:rPr>
            <w:rStyle w:val="ae"/>
            <w:rFonts w:eastAsia="宋体"/>
            <w:noProof/>
          </w:rPr>
          <w:t>Proposal 13:</w:t>
        </w:r>
        <w:r>
          <w:rPr>
            <w:rFonts w:asciiTheme="minorHAnsi" w:hAnsiTheme="minorHAnsi" w:cstheme="minorBidi"/>
            <w:b w:val="0"/>
            <w:bCs w:val="0"/>
            <w:i w:val="0"/>
            <w:iCs w:val="0"/>
            <w:noProof/>
            <w:sz w:val="21"/>
            <w:szCs w:val="22"/>
          </w:rPr>
          <w:tab/>
        </w:r>
        <w:r w:rsidRPr="00855F5D">
          <w:rPr>
            <w:rStyle w:val="ae"/>
            <w:noProof/>
          </w:rPr>
          <w:t>To minimize the transmission direction conflict at the IAB MT side</w:t>
        </w:r>
        <w:r w:rsidRPr="00855F5D">
          <w:rPr>
            <w:rStyle w:val="ae"/>
            <w:rFonts w:hint="eastAsia"/>
            <w:noProof/>
          </w:rPr>
          <w:t>：</w:t>
        </w:r>
      </w:hyperlink>
    </w:p>
    <w:p w:rsidR="00F73184" w:rsidRDefault="00F73184">
      <w:pPr>
        <w:pStyle w:val="10"/>
        <w:tabs>
          <w:tab w:val="left" w:pos="862"/>
        </w:tabs>
        <w:spacing w:before="120" w:after="120"/>
        <w:rPr>
          <w:rFonts w:asciiTheme="minorHAnsi" w:hAnsiTheme="minorHAnsi" w:cstheme="minorBidi"/>
          <w:b w:val="0"/>
          <w:bCs w:val="0"/>
          <w:i w:val="0"/>
          <w:iCs w:val="0"/>
          <w:noProof/>
          <w:sz w:val="21"/>
          <w:szCs w:val="22"/>
        </w:rPr>
      </w:pPr>
      <w:hyperlink w:anchor="_Toc79164588" w:history="1">
        <w:r w:rsidRPr="00855F5D">
          <w:rPr>
            <w:rStyle w:val="ae"/>
            <w:rFonts w:ascii="Arial" w:eastAsia="宋体" w:hAnsi="Arial" w:cs="Arial"/>
            <w:noProof/>
          </w:rPr>
          <w:t>•</w:t>
        </w:r>
        <w:r>
          <w:rPr>
            <w:rFonts w:asciiTheme="minorHAnsi" w:hAnsiTheme="minorHAnsi" w:cstheme="minorBidi"/>
            <w:b w:val="0"/>
            <w:bCs w:val="0"/>
            <w:i w:val="0"/>
            <w:iCs w:val="0"/>
            <w:noProof/>
            <w:sz w:val="21"/>
            <w:szCs w:val="22"/>
          </w:rPr>
          <w:tab/>
        </w:r>
        <w:r w:rsidRPr="00855F5D">
          <w:rPr>
            <w:rStyle w:val="ae"/>
            <w:rFonts w:cs="Times"/>
            <w:noProof/>
          </w:rPr>
          <w:t xml:space="preserve">Coordinating </w:t>
        </w:r>
        <w:r w:rsidRPr="00855F5D">
          <w:rPr>
            <w:rStyle w:val="ae"/>
            <w:noProof/>
          </w:rPr>
          <w:t xml:space="preserve">the </w:t>
        </w:r>
        <w:r w:rsidRPr="00855F5D">
          <w:rPr>
            <w:rStyle w:val="ae"/>
            <w:rFonts w:eastAsia="宋体"/>
            <w:noProof/>
          </w:rPr>
          <w:t>Semi-static</w:t>
        </w:r>
        <w:r w:rsidRPr="00855F5D">
          <w:rPr>
            <w:rStyle w:val="ae"/>
            <w:noProof/>
          </w:rPr>
          <w:t xml:space="preserve"> or cell-common  high layer configuration(such as SSB , </w:t>
        </w:r>
        <w:r w:rsidRPr="00855F5D">
          <w:rPr>
            <w:rStyle w:val="ae"/>
            <w:rFonts w:cs="Times"/>
            <w:noProof/>
          </w:rPr>
          <w:t xml:space="preserve">CORESET 0 configuration, Valid PRACH occasion and </w:t>
        </w:r>
        <w:r w:rsidRPr="00855F5D">
          <w:rPr>
            <w:rStyle w:val="ae"/>
            <w:noProof/>
          </w:rPr>
          <w:t xml:space="preserve">TDD configurations) from/for different parent nodes are needed at least for inter-donor </w:t>
        </w:r>
        <w:r w:rsidRPr="00855F5D">
          <w:rPr>
            <w:rStyle w:val="ae"/>
            <w:rFonts w:cs="Times"/>
            <w:noProof/>
          </w:rPr>
          <w:t>scenarios</w:t>
        </w:r>
        <w:r w:rsidRPr="00855F5D">
          <w:rPr>
            <w:rStyle w:val="ae"/>
            <w:rFonts w:cs="Times" w:hint="eastAsia"/>
            <w:noProof/>
          </w:rPr>
          <w:t>。</w:t>
        </w:r>
      </w:hyperlink>
    </w:p>
    <w:p w:rsidR="00F73184" w:rsidRDefault="00F73184">
      <w:pPr>
        <w:pStyle w:val="10"/>
        <w:tabs>
          <w:tab w:val="left" w:pos="862"/>
        </w:tabs>
        <w:spacing w:before="120" w:after="120"/>
        <w:rPr>
          <w:rFonts w:asciiTheme="minorHAnsi" w:hAnsiTheme="minorHAnsi" w:cstheme="minorBidi"/>
          <w:b w:val="0"/>
          <w:bCs w:val="0"/>
          <w:i w:val="0"/>
          <w:iCs w:val="0"/>
          <w:noProof/>
          <w:sz w:val="21"/>
          <w:szCs w:val="22"/>
        </w:rPr>
      </w:pPr>
      <w:hyperlink w:anchor="_Toc79164589" w:history="1">
        <w:r w:rsidRPr="00855F5D">
          <w:rPr>
            <w:rStyle w:val="ae"/>
            <w:rFonts w:ascii="Arial" w:eastAsia="宋体" w:hAnsi="Arial" w:cs="Arial"/>
            <w:noProof/>
          </w:rPr>
          <w:t>•</w:t>
        </w:r>
        <w:r>
          <w:rPr>
            <w:rFonts w:asciiTheme="minorHAnsi" w:hAnsiTheme="minorHAnsi" w:cstheme="minorBidi"/>
            <w:b w:val="0"/>
            <w:bCs w:val="0"/>
            <w:i w:val="0"/>
            <w:iCs w:val="0"/>
            <w:noProof/>
            <w:sz w:val="21"/>
            <w:szCs w:val="22"/>
          </w:rPr>
          <w:tab/>
        </w:r>
        <w:r w:rsidRPr="00855F5D">
          <w:rPr>
            <w:rStyle w:val="ae"/>
            <w:noProof/>
          </w:rPr>
          <w:t xml:space="preserve">From RAN1 perspective, the </w:t>
        </w:r>
        <w:r w:rsidRPr="00855F5D">
          <w:rPr>
            <w:rStyle w:val="ae"/>
            <w:rFonts w:eastAsia="宋体"/>
            <w:noProof/>
          </w:rPr>
          <w:t>Semi-static</w:t>
        </w:r>
        <w:r w:rsidRPr="00855F5D">
          <w:rPr>
            <w:rStyle w:val="ae"/>
            <w:noProof/>
          </w:rPr>
          <w:t xml:space="preserve"> or cell-common high layer configuration from/for different parent nodes are assumed not conflicted for intra-band inter-carrier DC.</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90" w:history="1">
        <w:r w:rsidRPr="00855F5D">
          <w:rPr>
            <w:rStyle w:val="ae"/>
            <w:rFonts w:eastAsia="宋体"/>
            <w:noProof/>
          </w:rPr>
          <w:t>Proposal 14:</w:t>
        </w:r>
        <w:r>
          <w:rPr>
            <w:rFonts w:asciiTheme="minorHAnsi" w:hAnsiTheme="minorHAnsi" w:cstheme="minorBidi"/>
            <w:b w:val="0"/>
            <w:bCs w:val="0"/>
            <w:i w:val="0"/>
            <w:iCs w:val="0"/>
            <w:noProof/>
            <w:sz w:val="21"/>
            <w:szCs w:val="22"/>
          </w:rPr>
          <w:tab/>
        </w:r>
        <w:r w:rsidRPr="00855F5D">
          <w:rPr>
            <w:rStyle w:val="ae"/>
            <w:noProof/>
          </w:rPr>
          <w:t xml:space="preserve">Coordinating the dynamic indication/scheduling form different parents is not supported, the dynamic indication conflict can be left to </w:t>
        </w:r>
        <w:r w:rsidRPr="00855F5D">
          <w:rPr>
            <w:rStyle w:val="ae"/>
            <w:rFonts w:eastAsia="宋体"/>
            <w:noProof/>
          </w:rPr>
          <w:t>impleme</w:t>
        </w:r>
        <w:r w:rsidRPr="00855F5D">
          <w:rPr>
            <w:rStyle w:val="ae"/>
            <w:noProof/>
          </w:rPr>
          <w:t>n</w:t>
        </w:r>
        <w:r w:rsidRPr="00855F5D">
          <w:rPr>
            <w:rStyle w:val="ae"/>
            <w:rFonts w:eastAsia="宋体"/>
            <w:noProof/>
          </w:rPr>
          <w:t xml:space="preserve">tation </w:t>
        </w:r>
        <w:r w:rsidRPr="00855F5D">
          <w:rPr>
            <w:rStyle w:val="ae"/>
            <w:noProof/>
          </w:rPr>
          <w:t>in DC scenario</w:t>
        </w:r>
        <w:r w:rsidRPr="00855F5D">
          <w:rPr>
            <w:rStyle w:val="ae"/>
            <w:rFonts w:cs="Times"/>
            <w:noProof/>
          </w:rPr>
          <w: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91" w:history="1">
        <w:r w:rsidRPr="00855F5D">
          <w:rPr>
            <w:rStyle w:val="ae"/>
            <w:rFonts w:eastAsia="宋体"/>
            <w:noProof/>
          </w:rPr>
          <w:t>Proposal 15:</w:t>
        </w:r>
        <w:r>
          <w:rPr>
            <w:rFonts w:asciiTheme="minorHAnsi" w:hAnsiTheme="minorHAnsi" w:cstheme="minorBidi"/>
            <w:b w:val="0"/>
            <w:bCs w:val="0"/>
            <w:i w:val="0"/>
            <w:iCs w:val="0"/>
            <w:noProof/>
            <w:sz w:val="21"/>
            <w:szCs w:val="22"/>
          </w:rPr>
          <w:tab/>
        </w:r>
        <w:r w:rsidRPr="00855F5D">
          <w:rPr>
            <w:rStyle w:val="ae"/>
            <w:noProof/>
          </w:rPr>
          <w:t>When IAB MT detect more than one DCI format 2_5, the IAB-MT expects that each of the more than one DCI formats 2_5 from the same CG indicates a same value for the availability combination of the soft resources in the slot.</w:t>
        </w:r>
      </w:hyperlink>
    </w:p>
    <w:p w:rsidR="00F73184" w:rsidRDefault="00F73184">
      <w:pPr>
        <w:pStyle w:val="10"/>
        <w:tabs>
          <w:tab w:val="left" w:pos="1282"/>
        </w:tabs>
        <w:spacing w:before="120" w:after="120"/>
        <w:rPr>
          <w:rFonts w:asciiTheme="minorHAnsi" w:hAnsiTheme="minorHAnsi" w:cstheme="minorBidi"/>
          <w:b w:val="0"/>
          <w:bCs w:val="0"/>
          <w:i w:val="0"/>
          <w:iCs w:val="0"/>
          <w:noProof/>
          <w:sz w:val="21"/>
          <w:szCs w:val="22"/>
        </w:rPr>
      </w:pPr>
      <w:hyperlink w:anchor="_Toc79164592" w:history="1">
        <w:r w:rsidRPr="00855F5D">
          <w:rPr>
            <w:rStyle w:val="ae"/>
            <w:rFonts w:eastAsia="宋体"/>
            <w:noProof/>
          </w:rPr>
          <w:t>Proposal 16:</w:t>
        </w:r>
        <w:r>
          <w:rPr>
            <w:rFonts w:asciiTheme="minorHAnsi" w:hAnsiTheme="minorHAnsi" w:cstheme="minorBidi"/>
            <w:b w:val="0"/>
            <w:bCs w:val="0"/>
            <w:i w:val="0"/>
            <w:iCs w:val="0"/>
            <w:noProof/>
            <w:sz w:val="21"/>
            <w:szCs w:val="22"/>
          </w:rPr>
          <w:tab/>
        </w:r>
        <w:r w:rsidRPr="00855F5D">
          <w:rPr>
            <w:rStyle w:val="ae"/>
            <w:noProof/>
          </w:rPr>
          <w:t>For explicitly availability indication case, a per-cell IAB-DU soft resource is considered as available with respect to a IAB MT serving cell only if the IAB MT is explicitly indicated as IA by DCI 2_5 from the CG that the serving cell belongs to.</w:t>
        </w:r>
      </w:hyperlink>
    </w:p>
    <w:p w:rsidR="00B176DE" w:rsidRDefault="00F73184">
      <w:pPr>
        <w:spacing w:before="120" w:after="120"/>
        <w:rPr>
          <w:sz w:val="20"/>
        </w:rPr>
      </w:pPr>
      <w:r>
        <w:fldChar w:fldCharType="end"/>
      </w:r>
    </w:p>
    <w:p w:rsidR="00B176DE" w:rsidRDefault="00F73184">
      <w:pPr>
        <w:pStyle w:val="1"/>
        <w:spacing w:before="120" w:after="120"/>
        <w:ind w:left="0"/>
        <w:rPr>
          <w:rFonts w:cs="Arial"/>
          <w:szCs w:val="32"/>
        </w:rPr>
      </w:pPr>
      <w:r>
        <w:rPr>
          <w:rFonts w:cs="Arial"/>
          <w:szCs w:val="32"/>
        </w:rPr>
        <w:t>References</w:t>
      </w:r>
    </w:p>
    <w:p w:rsidR="00B176DE" w:rsidRDefault="00F73184">
      <w:pPr>
        <w:pStyle w:val="References"/>
        <w:spacing w:before="120" w:after="120"/>
        <w:ind w:left="0" w:firstLine="0"/>
        <w:rPr>
          <w:sz w:val="20"/>
          <w:szCs w:val="20"/>
        </w:rPr>
      </w:pPr>
      <w:bookmarkStart w:id="160" w:name="_Ref17466"/>
      <w:bookmarkStart w:id="161" w:name="_Ref6480"/>
      <w:bookmarkStart w:id="162" w:name="_Ref16505925"/>
      <w:r>
        <w:rPr>
          <w:bCs/>
          <w:sz w:val="20"/>
          <w:szCs w:val="20"/>
        </w:rPr>
        <w:t>Chair's Notes RAN1#10</w:t>
      </w:r>
      <w:r>
        <w:rPr>
          <w:rFonts w:hint="eastAsia"/>
          <w:bCs/>
          <w:sz w:val="20"/>
          <w:szCs w:val="20"/>
        </w:rPr>
        <w:t>5</w:t>
      </w:r>
      <w:r>
        <w:rPr>
          <w:bCs/>
          <w:sz w:val="20"/>
          <w:szCs w:val="20"/>
        </w:rPr>
        <w:t>-e final</w:t>
      </w:r>
    </w:p>
    <w:p w:rsidR="00B176DE" w:rsidRDefault="00F73184">
      <w:pPr>
        <w:pStyle w:val="References"/>
        <w:spacing w:before="120" w:after="120"/>
        <w:ind w:left="0" w:firstLine="0"/>
        <w:rPr>
          <w:sz w:val="20"/>
          <w:szCs w:val="20"/>
        </w:rPr>
      </w:pPr>
      <w:r>
        <w:rPr>
          <w:rFonts w:hint="eastAsia"/>
          <w:sz w:val="20"/>
          <w:szCs w:val="20"/>
        </w:rPr>
        <w:t xml:space="preserve">R1-2107826, </w:t>
      </w:r>
      <w:r>
        <w:rPr>
          <w:rFonts w:hint="eastAsia"/>
          <w:sz w:val="20"/>
          <w:szCs w:val="20"/>
        </w:rPr>
        <w:t>Consideration on reference carrier for semi-static IAB-DU resource configuration</w:t>
      </w:r>
      <w:r>
        <w:rPr>
          <w:rFonts w:hint="eastAsia"/>
          <w:sz w:val="20"/>
          <w:szCs w:val="20"/>
        </w:rPr>
        <w:t>, ZTE, Sanechips</w:t>
      </w:r>
    </w:p>
    <w:bookmarkEnd w:id="160"/>
    <w:bookmarkEnd w:id="161"/>
    <w:bookmarkEnd w:id="162"/>
    <w:p w:rsidR="00B176DE" w:rsidRDefault="00B176DE">
      <w:pPr>
        <w:spacing w:beforeLines="0" w:afterLines="0"/>
        <w:jc w:val="left"/>
        <w:rPr>
          <w:sz w:val="20"/>
        </w:rPr>
      </w:pPr>
    </w:p>
    <w:sectPr w:rsidR="00B176DE">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73184">
      <w:pPr>
        <w:spacing w:before="120" w:after="120"/>
      </w:pPr>
      <w:r>
        <w:separator/>
      </w:r>
    </w:p>
  </w:endnote>
  <w:endnote w:type="continuationSeparator" w:id="0">
    <w:p w:rsidR="00000000" w:rsidRDefault="00F7318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6DE" w:rsidRDefault="00B176DE">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6DE" w:rsidRDefault="00F73184">
    <w:pPr>
      <w:pStyle w:val="a7"/>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B176DE" w:rsidRDefault="00F73184">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B176DE" w:rsidRDefault="00F73184">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8</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6DE" w:rsidRDefault="00B176DE">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73184">
      <w:pPr>
        <w:spacing w:before="120" w:after="120"/>
      </w:pPr>
      <w:r>
        <w:separator/>
      </w:r>
    </w:p>
  </w:footnote>
  <w:footnote w:type="continuationSeparator" w:id="0">
    <w:p w:rsidR="00000000" w:rsidRDefault="00F73184">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6DE" w:rsidRDefault="00B176DE">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6DE" w:rsidRDefault="00B176DE">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6DE" w:rsidRDefault="00B176DE">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CD1F3769"/>
    <w:multiLevelType w:val="singleLevel"/>
    <w:tmpl w:val="CD1F3769"/>
    <w:lvl w:ilvl="0">
      <w:start w:val="1"/>
      <w:numFmt w:val="bullet"/>
      <w:lvlText w:val=""/>
      <w:lvlJc w:val="left"/>
      <w:pPr>
        <w:ind w:left="420" w:hanging="420"/>
      </w:pPr>
      <w:rPr>
        <w:rFonts w:ascii="Wingdings" w:hAnsi="Wingdings" w:hint="default"/>
      </w:rPr>
    </w:lvl>
  </w:abstractNum>
  <w:abstractNum w:abstractNumId="4">
    <w:nsid w:val="EEF8A680"/>
    <w:multiLevelType w:val="singleLevel"/>
    <w:tmpl w:val="EEF8A680"/>
    <w:lvl w:ilvl="0">
      <w:start w:val="1"/>
      <w:numFmt w:val="bullet"/>
      <w:lvlText w:val=""/>
      <w:lvlJc w:val="left"/>
      <w:pPr>
        <w:ind w:left="420" w:hanging="420"/>
      </w:pPr>
      <w:rPr>
        <w:rFonts w:ascii="Wingdings" w:hAnsi="Wingdings" w:hint="default"/>
      </w:rPr>
    </w:lvl>
  </w:abstractNum>
  <w:abstractNum w:abstractNumId="5">
    <w:nsid w:val="091DEC5E"/>
    <w:multiLevelType w:val="multilevel"/>
    <w:tmpl w:val="091DEC5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Arial"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3BE0681"/>
    <w:multiLevelType w:val="multilevel"/>
    <w:tmpl w:val="43BE0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0"/>
  </w:num>
  <w:num w:numId="3">
    <w:abstractNumId w:val="2"/>
  </w:num>
  <w:num w:numId="4">
    <w:abstractNumId w:val="13"/>
  </w:num>
  <w:num w:numId="5">
    <w:abstractNumId w:val="1"/>
  </w:num>
  <w:num w:numId="6">
    <w:abstractNumId w:val="11"/>
  </w:num>
  <w:num w:numId="7">
    <w:abstractNumId w:val="7"/>
  </w:num>
  <w:num w:numId="8">
    <w:abstractNumId w:val="12"/>
  </w:num>
  <w:num w:numId="9">
    <w:abstractNumId w:val="5"/>
  </w:num>
  <w:num w:numId="10">
    <w:abstractNumId w:val="10"/>
  </w:num>
  <w:num w:numId="11">
    <w:abstractNumId w:val="9"/>
  </w:num>
  <w:num w:numId="12">
    <w:abstractNumId w:val="8"/>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EC9"/>
    <w:rsid w:val="000754BC"/>
    <w:rsid w:val="00092374"/>
    <w:rsid w:val="000B2976"/>
    <w:rsid w:val="000C3793"/>
    <w:rsid w:val="000E47D8"/>
    <w:rsid w:val="00101583"/>
    <w:rsid w:val="00131276"/>
    <w:rsid w:val="001328F6"/>
    <w:rsid w:val="001438ED"/>
    <w:rsid w:val="00172A27"/>
    <w:rsid w:val="00195A3C"/>
    <w:rsid w:val="001C37AC"/>
    <w:rsid w:val="001E26F0"/>
    <w:rsid w:val="00213BB6"/>
    <w:rsid w:val="00260149"/>
    <w:rsid w:val="002F6018"/>
    <w:rsid w:val="002F7500"/>
    <w:rsid w:val="003270E2"/>
    <w:rsid w:val="0037726C"/>
    <w:rsid w:val="00383A4D"/>
    <w:rsid w:val="004209E3"/>
    <w:rsid w:val="00463C47"/>
    <w:rsid w:val="0049349F"/>
    <w:rsid w:val="004B042F"/>
    <w:rsid w:val="004B0544"/>
    <w:rsid w:val="00524B78"/>
    <w:rsid w:val="005478E8"/>
    <w:rsid w:val="005B065E"/>
    <w:rsid w:val="00637848"/>
    <w:rsid w:val="006F0DB0"/>
    <w:rsid w:val="00775067"/>
    <w:rsid w:val="00830169"/>
    <w:rsid w:val="00897D1C"/>
    <w:rsid w:val="008D11CE"/>
    <w:rsid w:val="0095154E"/>
    <w:rsid w:val="0095347B"/>
    <w:rsid w:val="0096044C"/>
    <w:rsid w:val="00991FDE"/>
    <w:rsid w:val="009B66B6"/>
    <w:rsid w:val="00A03342"/>
    <w:rsid w:val="00A17866"/>
    <w:rsid w:val="00AE3454"/>
    <w:rsid w:val="00AE40F2"/>
    <w:rsid w:val="00B176DE"/>
    <w:rsid w:val="00BF060B"/>
    <w:rsid w:val="00C16AF2"/>
    <w:rsid w:val="00C25AF2"/>
    <w:rsid w:val="00C266BC"/>
    <w:rsid w:val="00C545F1"/>
    <w:rsid w:val="00C6793D"/>
    <w:rsid w:val="00CA568F"/>
    <w:rsid w:val="00CA7119"/>
    <w:rsid w:val="00CB5143"/>
    <w:rsid w:val="00CE13C5"/>
    <w:rsid w:val="00D11D25"/>
    <w:rsid w:val="00D17949"/>
    <w:rsid w:val="00D24C6C"/>
    <w:rsid w:val="00D26197"/>
    <w:rsid w:val="00D6168B"/>
    <w:rsid w:val="00DA4B6A"/>
    <w:rsid w:val="00E370F2"/>
    <w:rsid w:val="00E37D88"/>
    <w:rsid w:val="00EB3F2A"/>
    <w:rsid w:val="00EB4EC5"/>
    <w:rsid w:val="00EB4F8D"/>
    <w:rsid w:val="00F70243"/>
    <w:rsid w:val="00F73184"/>
    <w:rsid w:val="00FB48F8"/>
    <w:rsid w:val="00FC22D6"/>
    <w:rsid w:val="00FD2DE4"/>
    <w:rsid w:val="00FE3CF1"/>
    <w:rsid w:val="0175416B"/>
    <w:rsid w:val="01764F01"/>
    <w:rsid w:val="01A87802"/>
    <w:rsid w:val="01AA1F45"/>
    <w:rsid w:val="01BB0452"/>
    <w:rsid w:val="01CC3E95"/>
    <w:rsid w:val="01D837AC"/>
    <w:rsid w:val="0207518B"/>
    <w:rsid w:val="024D6B6A"/>
    <w:rsid w:val="02600914"/>
    <w:rsid w:val="029B04E7"/>
    <w:rsid w:val="029C6023"/>
    <w:rsid w:val="02B76F46"/>
    <w:rsid w:val="02BA7D65"/>
    <w:rsid w:val="02D802A1"/>
    <w:rsid w:val="02FB76BE"/>
    <w:rsid w:val="03073BDC"/>
    <w:rsid w:val="033B7557"/>
    <w:rsid w:val="033F44DC"/>
    <w:rsid w:val="034D3640"/>
    <w:rsid w:val="03724FE0"/>
    <w:rsid w:val="03782650"/>
    <w:rsid w:val="03B8536C"/>
    <w:rsid w:val="04427E99"/>
    <w:rsid w:val="049153B9"/>
    <w:rsid w:val="0495036C"/>
    <w:rsid w:val="04C41AB9"/>
    <w:rsid w:val="04E00EC8"/>
    <w:rsid w:val="05051EF1"/>
    <w:rsid w:val="050F45B3"/>
    <w:rsid w:val="052429B8"/>
    <w:rsid w:val="052641B9"/>
    <w:rsid w:val="0555228E"/>
    <w:rsid w:val="0567639C"/>
    <w:rsid w:val="056B0FB5"/>
    <w:rsid w:val="056B625E"/>
    <w:rsid w:val="05811E02"/>
    <w:rsid w:val="05900668"/>
    <w:rsid w:val="059D1E39"/>
    <w:rsid w:val="05E078B3"/>
    <w:rsid w:val="05EB0B66"/>
    <w:rsid w:val="062215F5"/>
    <w:rsid w:val="062C127E"/>
    <w:rsid w:val="064B2A41"/>
    <w:rsid w:val="066A15C2"/>
    <w:rsid w:val="06721D26"/>
    <w:rsid w:val="069C3662"/>
    <w:rsid w:val="06DD5C75"/>
    <w:rsid w:val="06FF61E2"/>
    <w:rsid w:val="07264D3E"/>
    <w:rsid w:val="07272584"/>
    <w:rsid w:val="076D396F"/>
    <w:rsid w:val="077D0583"/>
    <w:rsid w:val="078D78BC"/>
    <w:rsid w:val="079724D0"/>
    <w:rsid w:val="07A15A71"/>
    <w:rsid w:val="07B347B6"/>
    <w:rsid w:val="07BA3644"/>
    <w:rsid w:val="080D07A4"/>
    <w:rsid w:val="082A352F"/>
    <w:rsid w:val="088A1EEE"/>
    <w:rsid w:val="0891402C"/>
    <w:rsid w:val="08C349D1"/>
    <w:rsid w:val="08C50184"/>
    <w:rsid w:val="08DB22C6"/>
    <w:rsid w:val="08DF7FEF"/>
    <w:rsid w:val="08E16393"/>
    <w:rsid w:val="08EA763A"/>
    <w:rsid w:val="08F4719E"/>
    <w:rsid w:val="08F52612"/>
    <w:rsid w:val="08F84F59"/>
    <w:rsid w:val="08FD5189"/>
    <w:rsid w:val="091C6591"/>
    <w:rsid w:val="091D58A2"/>
    <w:rsid w:val="09634C12"/>
    <w:rsid w:val="09806FE0"/>
    <w:rsid w:val="099C738A"/>
    <w:rsid w:val="09A177D3"/>
    <w:rsid w:val="09B864DC"/>
    <w:rsid w:val="09DD707B"/>
    <w:rsid w:val="09DD70CA"/>
    <w:rsid w:val="09F67CD5"/>
    <w:rsid w:val="0A1C03DE"/>
    <w:rsid w:val="0A2606EA"/>
    <w:rsid w:val="0A2639D2"/>
    <w:rsid w:val="0A3805F9"/>
    <w:rsid w:val="0A4F15D0"/>
    <w:rsid w:val="0A5B01BE"/>
    <w:rsid w:val="0A797C30"/>
    <w:rsid w:val="0A850856"/>
    <w:rsid w:val="0A882D8B"/>
    <w:rsid w:val="0A98567D"/>
    <w:rsid w:val="0ABA2C09"/>
    <w:rsid w:val="0AD34A5B"/>
    <w:rsid w:val="0AE43750"/>
    <w:rsid w:val="0AE64417"/>
    <w:rsid w:val="0B25627D"/>
    <w:rsid w:val="0B46017D"/>
    <w:rsid w:val="0B5E0A54"/>
    <w:rsid w:val="0B64353D"/>
    <w:rsid w:val="0B696C9D"/>
    <w:rsid w:val="0B7C4894"/>
    <w:rsid w:val="0B83577C"/>
    <w:rsid w:val="0B8723DA"/>
    <w:rsid w:val="0B942300"/>
    <w:rsid w:val="0B9E71DF"/>
    <w:rsid w:val="0BA23EEF"/>
    <w:rsid w:val="0BB20D48"/>
    <w:rsid w:val="0BBB406D"/>
    <w:rsid w:val="0BC008E1"/>
    <w:rsid w:val="0C1C3F65"/>
    <w:rsid w:val="0C2513DB"/>
    <w:rsid w:val="0C2F6748"/>
    <w:rsid w:val="0C6E0333"/>
    <w:rsid w:val="0C8E1612"/>
    <w:rsid w:val="0C9D30C2"/>
    <w:rsid w:val="0CAC2370"/>
    <w:rsid w:val="0CB7725B"/>
    <w:rsid w:val="0CC0539E"/>
    <w:rsid w:val="0D177E64"/>
    <w:rsid w:val="0D202AB9"/>
    <w:rsid w:val="0D3A607E"/>
    <w:rsid w:val="0D3D7500"/>
    <w:rsid w:val="0D9D3B67"/>
    <w:rsid w:val="0D9D65F4"/>
    <w:rsid w:val="0DEF0149"/>
    <w:rsid w:val="0DF66620"/>
    <w:rsid w:val="0E172BD0"/>
    <w:rsid w:val="0E173D9D"/>
    <w:rsid w:val="0E8B1A63"/>
    <w:rsid w:val="0EC915C0"/>
    <w:rsid w:val="0ED05E83"/>
    <w:rsid w:val="0FC52562"/>
    <w:rsid w:val="0FE43E40"/>
    <w:rsid w:val="0FF8007A"/>
    <w:rsid w:val="0FFB1747"/>
    <w:rsid w:val="10481210"/>
    <w:rsid w:val="10A15C4F"/>
    <w:rsid w:val="10A50104"/>
    <w:rsid w:val="10EB09DC"/>
    <w:rsid w:val="110F7F81"/>
    <w:rsid w:val="11122A47"/>
    <w:rsid w:val="111B3166"/>
    <w:rsid w:val="111B478D"/>
    <w:rsid w:val="11225EFA"/>
    <w:rsid w:val="115B3410"/>
    <w:rsid w:val="11757502"/>
    <w:rsid w:val="119D7849"/>
    <w:rsid w:val="11A0652A"/>
    <w:rsid w:val="11D32C40"/>
    <w:rsid w:val="11D46DD9"/>
    <w:rsid w:val="121876B1"/>
    <w:rsid w:val="1242135C"/>
    <w:rsid w:val="124D1560"/>
    <w:rsid w:val="12C05409"/>
    <w:rsid w:val="12FA7C9A"/>
    <w:rsid w:val="12FE3E89"/>
    <w:rsid w:val="1311524A"/>
    <w:rsid w:val="13230953"/>
    <w:rsid w:val="13471CAD"/>
    <w:rsid w:val="136B24B6"/>
    <w:rsid w:val="13A1683F"/>
    <w:rsid w:val="13A40BF7"/>
    <w:rsid w:val="14254C04"/>
    <w:rsid w:val="143F6ED6"/>
    <w:rsid w:val="14605037"/>
    <w:rsid w:val="1460716A"/>
    <w:rsid w:val="146A7204"/>
    <w:rsid w:val="147133FF"/>
    <w:rsid w:val="14763CB9"/>
    <w:rsid w:val="14AA4309"/>
    <w:rsid w:val="14DA3DA1"/>
    <w:rsid w:val="15052CF1"/>
    <w:rsid w:val="157272F1"/>
    <w:rsid w:val="157C7F56"/>
    <w:rsid w:val="158B799D"/>
    <w:rsid w:val="159E61DE"/>
    <w:rsid w:val="15A0296E"/>
    <w:rsid w:val="15C4240D"/>
    <w:rsid w:val="15E25493"/>
    <w:rsid w:val="15EE66CD"/>
    <w:rsid w:val="161C0550"/>
    <w:rsid w:val="1636245A"/>
    <w:rsid w:val="164B3F2E"/>
    <w:rsid w:val="167F0BD3"/>
    <w:rsid w:val="16997FD8"/>
    <w:rsid w:val="169D643D"/>
    <w:rsid w:val="16A51A73"/>
    <w:rsid w:val="16B5117F"/>
    <w:rsid w:val="16C417D5"/>
    <w:rsid w:val="16E824A8"/>
    <w:rsid w:val="17155857"/>
    <w:rsid w:val="17190DE8"/>
    <w:rsid w:val="171B7471"/>
    <w:rsid w:val="17484E85"/>
    <w:rsid w:val="17485F55"/>
    <w:rsid w:val="174D1071"/>
    <w:rsid w:val="17603A01"/>
    <w:rsid w:val="1768417F"/>
    <w:rsid w:val="17685212"/>
    <w:rsid w:val="17950508"/>
    <w:rsid w:val="17A2352F"/>
    <w:rsid w:val="17CD30C3"/>
    <w:rsid w:val="17FB1C59"/>
    <w:rsid w:val="182A416B"/>
    <w:rsid w:val="18760295"/>
    <w:rsid w:val="188F4114"/>
    <w:rsid w:val="18A02C99"/>
    <w:rsid w:val="18BE6DC6"/>
    <w:rsid w:val="18E528E8"/>
    <w:rsid w:val="18EB7063"/>
    <w:rsid w:val="19010C43"/>
    <w:rsid w:val="19084C73"/>
    <w:rsid w:val="190A786B"/>
    <w:rsid w:val="19117A25"/>
    <w:rsid w:val="192665B8"/>
    <w:rsid w:val="192821A1"/>
    <w:rsid w:val="1940045B"/>
    <w:rsid w:val="194755B1"/>
    <w:rsid w:val="1997688B"/>
    <w:rsid w:val="19C93110"/>
    <w:rsid w:val="19EA1C79"/>
    <w:rsid w:val="19ED14C2"/>
    <w:rsid w:val="1A054259"/>
    <w:rsid w:val="1A0B1ECE"/>
    <w:rsid w:val="1A3E3FD2"/>
    <w:rsid w:val="1A463AAE"/>
    <w:rsid w:val="1A900408"/>
    <w:rsid w:val="1A92267D"/>
    <w:rsid w:val="1B001645"/>
    <w:rsid w:val="1B2B0BBF"/>
    <w:rsid w:val="1B3A60CA"/>
    <w:rsid w:val="1B3F00A2"/>
    <w:rsid w:val="1B447C2F"/>
    <w:rsid w:val="1B7F6005"/>
    <w:rsid w:val="1BD65B53"/>
    <w:rsid w:val="1C033448"/>
    <w:rsid w:val="1C132CB9"/>
    <w:rsid w:val="1C4C6431"/>
    <w:rsid w:val="1CA81298"/>
    <w:rsid w:val="1CA953F1"/>
    <w:rsid w:val="1CAF30F6"/>
    <w:rsid w:val="1CC35819"/>
    <w:rsid w:val="1CCC26CA"/>
    <w:rsid w:val="1CFE7798"/>
    <w:rsid w:val="1D1A225E"/>
    <w:rsid w:val="1D487BE5"/>
    <w:rsid w:val="1D5433E7"/>
    <w:rsid w:val="1D8D7CE0"/>
    <w:rsid w:val="1DA43059"/>
    <w:rsid w:val="1DBA1B7C"/>
    <w:rsid w:val="1DD872DE"/>
    <w:rsid w:val="1E016C3A"/>
    <w:rsid w:val="1E2A568D"/>
    <w:rsid w:val="1E592A17"/>
    <w:rsid w:val="1E5B310E"/>
    <w:rsid w:val="1E5C71EF"/>
    <w:rsid w:val="1E867134"/>
    <w:rsid w:val="1E945211"/>
    <w:rsid w:val="1E9D6342"/>
    <w:rsid w:val="1EA16D63"/>
    <w:rsid w:val="1F474538"/>
    <w:rsid w:val="1F557221"/>
    <w:rsid w:val="1F605CBA"/>
    <w:rsid w:val="1F6C66AA"/>
    <w:rsid w:val="1F74548C"/>
    <w:rsid w:val="1FA8565C"/>
    <w:rsid w:val="1FBD574A"/>
    <w:rsid w:val="1FC90D7B"/>
    <w:rsid w:val="1FD13886"/>
    <w:rsid w:val="1FD13AB4"/>
    <w:rsid w:val="20150EA2"/>
    <w:rsid w:val="201B4F87"/>
    <w:rsid w:val="201D58DF"/>
    <w:rsid w:val="204E6676"/>
    <w:rsid w:val="20583F06"/>
    <w:rsid w:val="20642183"/>
    <w:rsid w:val="20687056"/>
    <w:rsid w:val="20973200"/>
    <w:rsid w:val="20B721C4"/>
    <w:rsid w:val="20C0060C"/>
    <w:rsid w:val="20E736E7"/>
    <w:rsid w:val="20E8749C"/>
    <w:rsid w:val="21012F40"/>
    <w:rsid w:val="21092478"/>
    <w:rsid w:val="212042BB"/>
    <w:rsid w:val="2123024A"/>
    <w:rsid w:val="214B6D79"/>
    <w:rsid w:val="21550432"/>
    <w:rsid w:val="216531A6"/>
    <w:rsid w:val="218D690B"/>
    <w:rsid w:val="2195668B"/>
    <w:rsid w:val="21B75A2D"/>
    <w:rsid w:val="21BE5AD4"/>
    <w:rsid w:val="21F75F55"/>
    <w:rsid w:val="221241FE"/>
    <w:rsid w:val="22186699"/>
    <w:rsid w:val="22404957"/>
    <w:rsid w:val="225C4EBE"/>
    <w:rsid w:val="2265730A"/>
    <w:rsid w:val="22717051"/>
    <w:rsid w:val="229051C4"/>
    <w:rsid w:val="22B54F2B"/>
    <w:rsid w:val="22CF3E6E"/>
    <w:rsid w:val="22EC5A20"/>
    <w:rsid w:val="22F331F3"/>
    <w:rsid w:val="22FE758E"/>
    <w:rsid w:val="23081A49"/>
    <w:rsid w:val="234C3925"/>
    <w:rsid w:val="2363596B"/>
    <w:rsid w:val="238B4B3D"/>
    <w:rsid w:val="238F6B97"/>
    <w:rsid w:val="23BD76DD"/>
    <w:rsid w:val="23C37331"/>
    <w:rsid w:val="23F864A4"/>
    <w:rsid w:val="24532184"/>
    <w:rsid w:val="245C52F8"/>
    <w:rsid w:val="2463385E"/>
    <w:rsid w:val="24785134"/>
    <w:rsid w:val="249D68EB"/>
    <w:rsid w:val="249E52DD"/>
    <w:rsid w:val="24A33BCA"/>
    <w:rsid w:val="24A9092E"/>
    <w:rsid w:val="24CC3D54"/>
    <w:rsid w:val="24D1153E"/>
    <w:rsid w:val="24D364D0"/>
    <w:rsid w:val="24E450D2"/>
    <w:rsid w:val="250D568B"/>
    <w:rsid w:val="25123669"/>
    <w:rsid w:val="25134332"/>
    <w:rsid w:val="25523E31"/>
    <w:rsid w:val="257E508F"/>
    <w:rsid w:val="25B97BFA"/>
    <w:rsid w:val="260964FD"/>
    <w:rsid w:val="263F44B2"/>
    <w:rsid w:val="26432F2D"/>
    <w:rsid w:val="26524772"/>
    <w:rsid w:val="268763EA"/>
    <w:rsid w:val="26940F76"/>
    <w:rsid w:val="26BF5712"/>
    <w:rsid w:val="26C518A3"/>
    <w:rsid w:val="270843CB"/>
    <w:rsid w:val="275A7D71"/>
    <w:rsid w:val="27646849"/>
    <w:rsid w:val="27687814"/>
    <w:rsid w:val="278437C8"/>
    <w:rsid w:val="27876A02"/>
    <w:rsid w:val="27AB7429"/>
    <w:rsid w:val="27AF16DA"/>
    <w:rsid w:val="27BD6F85"/>
    <w:rsid w:val="27EB032C"/>
    <w:rsid w:val="27F072B0"/>
    <w:rsid w:val="28030384"/>
    <w:rsid w:val="280704EC"/>
    <w:rsid w:val="28232708"/>
    <w:rsid w:val="285C053E"/>
    <w:rsid w:val="28A33239"/>
    <w:rsid w:val="28D032B1"/>
    <w:rsid w:val="28D1259E"/>
    <w:rsid w:val="28DE250F"/>
    <w:rsid w:val="29897853"/>
    <w:rsid w:val="29BA23FE"/>
    <w:rsid w:val="29CA425D"/>
    <w:rsid w:val="29D75229"/>
    <w:rsid w:val="29FA7F26"/>
    <w:rsid w:val="2A063193"/>
    <w:rsid w:val="2A9E04FD"/>
    <w:rsid w:val="2A9F05E2"/>
    <w:rsid w:val="2AAD2833"/>
    <w:rsid w:val="2AD67ED7"/>
    <w:rsid w:val="2AE32A79"/>
    <w:rsid w:val="2B0F6EBD"/>
    <w:rsid w:val="2B492BDE"/>
    <w:rsid w:val="2B774832"/>
    <w:rsid w:val="2B79224A"/>
    <w:rsid w:val="2B800489"/>
    <w:rsid w:val="2B993AB9"/>
    <w:rsid w:val="2BFC7923"/>
    <w:rsid w:val="2C095925"/>
    <w:rsid w:val="2C284025"/>
    <w:rsid w:val="2C58138B"/>
    <w:rsid w:val="2C5B2EC9"/>
    <w:rsid w:val="2CC95FCA"/>
    <w:rsid w:val="2CDF4EA7"/>
    <w:rsid w:val="2D3A72F3"/>
    <w:rsid w:val="2D6343AB"/>
    <w:rsid w:val="2D7336D4"/>
    <w:rsid w:val="2D737381"/>
    <w:rsid w:val="2D9E7F15"/>
    <w:rsid w:val="2DB34D95"/>
    <w:rsid w:val="2DDB7390"/>
    <w:rsid w:val="2E0B71A3"/>
    <w:rsid w:val="2E43495E"/>
    <w:rsid w:val="2E565144"/>
    <w:rsid w:val="2E5D1918"/>
    <w:rsid w:val="2E682BDC"/>
    <w:rsid w:val="2EB14206"/>
    <w:rsid w:val="2EC47799"/>
    <w:rsid w:val="2EEA7F54"/>
    <w:rsid w:val="2EF30977"/>
    <w:rsid w:val="2EF95F20"/>
    <w:rsid w:val="2F035019"/>
    <w:rsid w:val="2F1251F2"/>
    <w:rsid w:val="2F7518BF"/>
    <w:rsid w:val="2F8116F2"/>
    <w:rsid w:val="2F8D1148"/>
    <w:rsid w:val="2FCB5ADE"/>
    <w:rsid w:val="2FFA7AC5"/>
    <w:rsid w:val="300566B8"/>
    <w:rsid w:val="300C4C48"/>
    <w:rsid w:val="302D7908"/>
    <w:rsid w:val="309416D4"/>
    <w:rsid w:val="30962F3E"/>
    <w:rsid w:val="30BB37E0"/>
    <w:rsid w:val="30D17E68"/>
    <w:rsid w:val="30DC7A4A"/>
    <w:rsid w:val="30FE3A51"/>
    <w:rsid w:val="30FF2795"/>
    <w:rsid w:val="310817B5"/>
    <w:rsid w:val="31107606"/>
    <w:rsid w:val="312D28B6"/>
    <w:rsid w:val="3152339D"/>
    <w:rsid w:val="318F7EFC"/>
    <w:rsid w:val="31D4027E"/>
    <w:rsid w:val="31F036E6"/>
    <w:rsid w:val="31F2731A"/>
    <w:rsid w:val="323803A0"/>
    <w:rsid w:val="32733F4B"/>
    <w:rsid w:val="329A6ACE"/>
    <w:rsid w:val="32B70A3D"/>
    <w:rsid w:val="32C91568"/>
    <w:rsid w:val="32DB4306"/>
    <w:rsid w:val="32FF6B7F"/>
    <w:rsid w:val="3301415B"/>
    <w:rsid w:val="333F0D74"/>
    <w:rsid w:val="33405271"/>
    <w:rsid w:val="334C1A6F"/>
    <w:rsid w:val="33872D84"/>
    <w:rsid w:val="3394726C"/>
    <w:rsid w:val="33E06F61"/>
    <w:rsid w:val="33F20E3B"/>
    <w:rsid w:val="33F251AE"/>
    <w:rsid w:val="33F431B2"/>
    <w:rsid w:val="3417519C"/>
    <w:rsid w:val="34433C6F"/>
    <w:rsid w:val="345D6540"/>
    <w:rsid w:val="3471669F"/>
    <w:rsid w:val="347F074C"/>
    <w:rsid w:val="34D63724"/>
    <w:rsid w:val="34DE539B"/>
    <w:rsid w:val="34F4460A"/>
    <w:rsid w:val="3542702B"/>
    <w:rsid w:val="358B286A"/>
    <w:rsid w:val="359267D1"/>
    <w:rsid w:val="35BD0748"/>
    <w:rsid w:val="35C83B50"/>
    <w:rsid w:val="35FB6B76"/>
    <w:rsid w:val="360B1D73"/>
    <w:rsid w:val="3619296A"/>
    <w:rsid w:val="361F3323"/>
    <w:rsid w:val="362D7D64"/>
    <w:rsid w:val="365353DA"/>
    <w:rsid w:val="365E7106"/>
    <w:rsid w:val="36622E5A"/>
    <w:rsid w:val="36BF4A21"/>
    <w:rsid w:val="36D262F5"/>
    <w:rsid w:val="36DC1D7A"/>
    <w:rsid w:val="36E67011"/>
    <w:rsid w:val="36E93760"/>
    <w:rsid w:val="370F6234"/>
    <w:rsid w:val="37187BEB"/>
    <w:rsid w:val="37222E3D"/>
    <w:rsid w:val="373634F9"/>
    <w:rsid w:val="375739E5"/>
    <w:rsid w:val="37652A07"/>
    <w:rsid w:val="376951C2"/>
    <w:rsid w:val="37716352"/>
    <w:rsid w:val="3784394E"/>
    <w:rsid w:val="38306900"/>
    <w:rsid w:val="383541BC"/>
    <w:rsid w:val="383B1564"/>
    <w:rsid w:val="38542505"/>
    <w:rsid w:val="388A2DE1"/>
    <w:rsid w:val="38AE3BB0"/>
    <w:rsid w:val="38CB7858"/>
    <w:rsid w:val="38D76C3A"/>
    <w:rsid w:val="38EA38A8"/>
    <w:rsid w:val="38EE5F1F"/>
    <w:rsid w:val="39047288"/>
    <w:rsid w:val="39306F40"/>
    <w:rsid w:val="39367F70"/>
    <w:rsid w:val="39473D66"/>
    <w:rsid w:val="395C7DC0"/>
    <w:rsid w:val="39BB0C81"/>
    <w:rsid w:val="39C82AE2"/>
    <w:rsid w:val="39CF1F7D"/>
    <w:rsid w:val="39D67290"/>
    <w:rsid w:val="3A026BF2"/>
    <w:rsid w:val="3A1131D2"/>
    <w:rsid w:val="3A505E74"/>
    <w:rsid w:val="3A8D1659"/>
    <w:rsid w:val="3A96251C"/>
    <w:rsid w:val="3AA4620D"/>
    <w:rsid w:val="3AB2754D"/>
    <w:rsid w:val="3ACB5746"/>
    <w:rsid w:val="3AEC16D9"/>
    <w:rsid w:val="3B0F0CED"/>
    <w:rsid w:val="3B1376BF"/>
    <w:rsid w:val="3B2E4BF0"/>
    <w:rsid w:val="3B3B10D9"/>
    <w:rsid w:val="3B3C14D8"/>
    <w:rsid w:val="3B6F73F0"/>
    <w:rsid w:val="3BA00A05"/>
    <w:rsid w:val="3BB20883"/>
    <w:rsid w:val="3BBB4FAA"/>
    <w:rsid w:val="3BBD2D5F"/>
    <w:rsid w:val="3BBF6D31"/>
    <w:rsid w:val="3BDD3DF6"/>
    <w:rsid w:val="3BF4670E"/>
    <w:rsid w:val="3C0F7315"/>
    <w:rsid w:val="3C47033F"/>
    <w:rsid w:val="3C751B18"/>
    <w:rsid w:val="3CF25993"/>
    <w:rsid w:val="3D114392"/>
    <w:rsid w:val="3D1D669C"/>
    <w:rsid w:val="3D3C0F91"/>
    <w:rsid w:val="3D3E003B"/>
    <w:rsid w:val="3D53448E"/>
    <w:rsid w:val="3D566E05"/>
    <w:rsid w:val="3D572567"/>
    <w:rsid w:val="3D696F2C"/>
    <w:rsid w:val="3DA8275C"/>
    <w:rsid w:val="3DC27F2C"/>
    <w:rsid w:val="3DD64737"/>
    <w:rsid w:val="3DE3424D"/>
    <w:rsid w:val="3DF0568B"/>
    <w:rsid w:val="3DFA62E7"/>
    <w:rsid w:val="3E11467C"/>
    <w:rsid w:val="3E123AC8"/>
    <w:rsid w:val="3E2D0D5E"/>
    <w:rsid w:val="3E420401"/>
    <w:rsid w:val="3E441C7D"/>
    <w:rsid w:val="3E667511"/>
    <w:rsid w:val="3E87427E"/>
    <w:rsid w:val="3E916C15"/>
    <w:rsid w:val="3EC750DC"/>
    <w:rsid w:val="3ED25246"/>
    <w:rsid w:val="3EFE7717"/>
    <w:rsid w:val="3F2B53F6"/>
    <w:rsid w:val="3F3D0D92"/>
    <w:rsid w:val="3F497473"/>
    <w:rsid w:val="3F5E004C"/>
    <w:rsid w:val="3FA661A3"/>
    <w:rsid w:val="3FA70F37"/>
    <w:rsid w:val="3FC04CC5"/>
    <w:rsid w:val="3FC37158"/>
    <w:rsid w:val="3FC956FF"/>
    <w:rsid w:val="3FD07AC1"/>
    <w:rsid w:val="3FD94F77"/>
    <w:rsid w:val="3FDD4694"/>
    <w:rsid w:val="3FEA0478"/>
    <w:rsid w:val="3FEB59DE"/>
    <w:rsid w:val="3FEF0C27"/>
    <w:rsid w:val="401E7A7A"/>
    <w:rsid w:val="402220F3"/>
    <w:rsid w:val="40573579"/>
    <w:rsid w:val="40A36A71"/>
    <w:rsid w:val="40C916CE"/>
    <w:rsid w:val="40E13F25"/>
    <w:rsid w:val="40F70178"/>
    <w:rsid w:val="410E4736"/>
    <w:rsid w:val="41235C5C"/>
    <w:rsid w:val="4125142C"/>
    <w:rsid w:val="414C6DC9"/>
    <w:rsid w:val="4167334E"/>
    <w:rsid w:val="41A06235"/>
    <w:rsid w:val="41AE0DA7"/>
    <w:rsid w:val="41D3631F"/>
    <w:rsid w:val="41D56BBE"/>
    <w:rsid w:val="41E357B9"/>
    <w:rsid w:val="41EB45BD"/>
    <w:rsid w:val="41F466FD"/>
    <w:rsid w:val="420C3131"/>
    <w:rsid w:val="42391C72"/>
    <w:rsid w:val="423D5B37"/>
    <w:rsid w:val="42500B82"/>
    <w:rsid w:val="425554D7"/>
    <w:rsid w:val="4274077B"/>
    <w:rsid w:val="428B32C7"/>
    <w:rsid w:val="429E7CA8"/>
    <w:rsid w:val="42A67A24"/>
    <w:rsid w:val="42D846B9"/>
    <w:rsid w:val="42DE3219"/>
    <w:rsid w:val="42F94D73"/>
    <w:rsid w:val="435756B9"/>
    <w:rsid w:val="436605D4"/>
    <w:rsid w:val="437B0C4E"/>
    <w:rsid w:val="43AF1FBF"/>
    <w:rsid w:val="43BD04CB"/>
    <w:rsid w:val="43C560F4"/>
    <w:rsid w:val="43E1138F"/>
    <w:rsid w:val="440D25AB"/>
    <w:rsid w:val="440D5045"/>
    <w:rsid w:val="448C6892"/>
    <w:rsid w:val="44911D0E"/>
    <w:rsid w:val="44A07D89"/>
    <w:rsid w:val="44AA2537"/>
    <w:rsid w:val="44C659AB"/>
    <w:rsid w:val="44F662CA"/>
    <w:rsid w:val="45242C1D"/>
    <w:rsid w:val="452938B5"/>
    <w:rsid w:val="45385570"/>
    <w:rsid w:val="453872E3"/>
    <w:rsid w:val="453F49D7"/>
    <w:rsid w:val="4550163C"/>
    <w:rsid w:val="455129BB"/>
    <w:rsid w:val="45915C76"/>
    <w:rsid w:val="4599614F"/>
    <w:rsid w:val="45A03958"/>
    <w:rsid w:val="45AC5FA5"/>
    <w:rsid w:val="45B80DC7"/>
    <w:rsid w:val="45BE6191"/>
    <w:rsid w:val="45D223A1"/>
    <w:rsid w:val="45E45EFA"/>
    <w:rsid w:val="46010CB2"/>
    <w:rsid w:val="460C5979"/>
    <w:rsid w:val="462F6229"/>
    <w:rsid w:val="463522AA"/>
    <w:rsid w:val="4684563E"/>
    <w:rsid w:val="46A44486"/>
    <w:rsid w:val="46D33878"/>
    <w:rsid w:val="46ED2A7E"/>
    <w:rsid w:val="47243903"/>
    <w:rsid w:val="47384688"/>
    <w:rsid w:val="47420ACA"/>
    <w:rsid w:val="474F3371"/>
    <w:rsid w:val="47626D84"/>
    <w:rsid w:val="47C01792"/>
    <w:rsid w:val="47C40ECF"/>
    <w:rsid w:val="47C76BA7"/>
    <w:rsid w:val="47CB1144"/>
    <w:rsid w:val="47CF5519"/>
    <w:rsid w:val="47DE4A4B"/>
    <w:rsid w:val="47E240A3"/>
    <w:rsid w:val="4808150F"/>
    <w:rsid w:val="480F5DBF"/>
    <w:rsid w:val="482A533A"/>
    <w:rsid w:val="483213E3"/>
    <w:rsid w:val="48962726"/>
    <w:rsid w:val="48B5617A"/>
    <w:rsid w:val="48BB4158"/>
    <w:rsid w:val="49334111"/>
    <w:rsid w:val="494F75D4"/>
    <w:rsid w:val="495274AB"/>
    <w:rsid w:val="495F1074"/>
    <w:rsid w:val="499943C1"/>
    <w:rsid w:val="49D0193A"/>
    <w:rsid w:val="49E9233D"/>
    <w:rsid w:val="49EA336A"/>
    <w:rsid w:val="4A011123"/>
    <w:rsid w:val="4A1D2508"/>
    <w:rsid w:val="4AAD1944"/>
    <w:rsid w:val="4AC31003"/>
    <w:rsid w:val="4ADC4DC7"/>
    <w:rsid w:val="4AE93159"/>
    <w:rsid w:val="4AFE06C7"/>
    <w:rsid w:val="4B155921"/>
    <w:rsid w:val="4B2D01D6"/>
    <w:rsid w:val="4BA65A9E"/>
    <w:rsid w:val="4BB64519"/>
    <w:rsid w:val="4BD0339A"/>
    <w:rsid w:val="4BD45173"/>
    <w:rsid w:val="4BDE7077"/>
    <w:rsid w:val="4BEA46D3"/>
    <w:rsid w:val="4C233E56"/>
    <w:rsid w:val="4C505F58"/>
    <w:rsid w:val="4CB30E8A"/>
    <w:rsid w:val="4CC66885"/>
    <w:rsid w:val="4CDE0BF1"/>
    <w:rsid w:val="4CEE2FE8"/>
    <w:rsid w:val="4CFA3574"/>
    <w:rsid w:val="4D0D5330"/>
    <w:rsid w:val="4D165B45"/>
    <w:rsid w:val="4D462159"/>
    <w:rsid w:val="4D494984"/>
    <w:rsid w:val="4D5C5FAC"/>
    <w:rsid w:val="4D796563"/>
    <w:rsid w:val="4DA471FA"/>
    <w:rsid w:val="4DC605B6"/>
    <w:rsid w:val="4DE8647C"/>
    <w:rsid w:val="4DEC0985"/>
    <w:rsid w:val="4DFB299D"/>
    <w:rsid w:val="4E06555F"/>
    <w:rsid w:val="4E0B23DC"/>
    <w:rsid w:val="4E27683A"/>
    <w:rsid w:val="4E60747F"/>
    <w:rsid w:val="4E670969"/>
    <w:rsid w:val="4E815066"/>
    <w:rsid w:val="4EB263A5"/>
    <w:rsid w:val="4EB80640"/>
    <w:rsid w:val="4EBD7739"/>
    <w:rsid w:val="4EF92759"/>
    <w:rsid w:val="4F062385"/>
    <w:rsid w:val="4F1D1740"/>
    <w:rsid w:val="4F2765B1"/>
    <w:rsid w:val="4F285975"/>
    <w:rsid w:val="4F503F63"/>
    <w:rsid w:val="4FA75F34"/>
    <w:rsid w:val="4FBC4859"/>
    <w:rsid w:val="50292DAE"/>
    <w:rsid w:val="504745F9"/>
    <w:rsid w:val="50841662"/>
    <w:rsid w:val="50CC13AC"/>
    <w:rsid w:val="5100265D"/>
    <w:rsid w:val="512D37EA"/>
    <w:rsid w:val="51383C97"/>
    <w:rsid w:val="51634B98"/>
    <w:rsid w:val="516C2222"/>
    <w:rsid w:val="5175128E"/>
    <w:rsid w:val="51796EDE"/>
    <w:rsid w:val="51867298"/>
    <w:rsid w:val="51B56802"/>
    <w:rsid w:val="51BA1BD7"/>
    <w:rsid w:val="51C6376F"/>
    <w:rsid w:val="51C64AA7"/>
    <w:rsid w:val="51CE69CD"/>
    <w:rsid w:val="52152F69"/>
    <w:rsid w:val="52195EDF"/>
    <w:rsid w:val="52313387"/>
    <w:rsid w:val="5234294D"/>
    <w:rsid w:val="52B70CE8"/>
    <w:rsid w:val="52C15317"/>
    <w:rsid w:val="52E04D27"/>
    <w:rsid w:val="52FE706D"/>
    <w:rsid w:val="530E3985"/>
    <w:rsid w:val="53133D7F"/>
    <w:rsid w:val="531F4DB7"/>
    <w:rsid w:val="532049AA"/>
    <w:rsid w:val="534750B2"/>
    <w:rsid w:val="53561C56"/>
    <w:rsid w:val="535A4F60"/>
    <w:rsid w:val="537C393E"/>
    <w:rsid w:val="5389465B"/>
    <w:rsid w:val="539A390F"/>
    <w:rsid w:val="53CA1266"/>
    <w:rsid w:val="53DB3477"/>
    <w:rsid w:val="547471FE"/>
    <w:rsid w:val="547E6147"/>
    <w:rsid w:val="549048B8"/>
    <w:rsid w:val="549710CF"/>
    <w:rsid w:val="54AF6B42"/>
    <w:rsid w:val="54CC1A43"/>
    <w:rsid w:val="54E85C46"/>
    <w:rsid w:val="54EE2B11"/>
    <w:rsid w:val="552C6CE5"/>
    <w:rsid w:val="553C373A"/>
    <w:rsid w:val="5543733F"/>
    <w:rsid w:val="55612587"/>
    <w:rsid w:val="55DD6F2A"/>
    <w:rsid w:val="55EA6FB7"/>
    <w:rsid w:val="563B6259"/>
    <w:rsid w:val="56486A48"/>
    <w:rsid w:val="564F1961"/>
    <w:rsid w:val="56654271"/>
    <w:rsid w:val="566F49CD"/>
    <w:rsid w:val="56BA1F35"/>
    <w:rsid w:val="56BB1404"/>
    <w:rsid w:val="56E23970"/>
    <w:rsid w:val="571238D5"/>
    <w:rsid w:val="57264B5D"/>
    <w:rsid w:val="574F0776"/>
    <w:rsid w:val="575E1504"/>
    <w:rsid w:val="576066CB"/>
    <w:rsid w:val="577A3C7D"/>
    <w:rsid w:val="578F220A"/>
    <w:rsid w:val="57D5313D"/>
    <w:rsid w:val="57F80414"/>
    <w:rsid w:val="57FC07D9"/>
    <w:rsid w:val="581A6D0E"/>
    <w:rsid w:val="58500F22"/>
    <w:rsid w:val="58546326"/>
    <w:rsid w:val="58552662"/>
    <w:rsid w:val="58750BBA"/>
    <w:rsid w:val="588B6ED5"/>
    <w:rsid w:val="58D74CE8"/>
    <w:rsid w:val="591C0009"/>
    <w:rsid w:val="59535E11"/>
    <w:rsid w:val="596F537C"/>
    <w:rsid w:val="597467AF"/>
    <w:rsid w:val="597B53CB"/>
    <w:rsid w:val="5996164F"/>
    <w:rsid w:val="59D13F28"/>
    <w:rsid w:val="5A195D50"/>
    <w:rsid w:val="5A4C6435"/>
    <w:rsid w:val="5A6859E9"/>
    <w:rsid w:val="5A686A4F"/>
    <w:rsid w:val="5A8715C6"/>
    <w:rsid w:val="5A8772BF"/>
    <w:rsid w:val="5A97012B"/>
    <w:rsid w:val="5ACF0F3A"/>
    <w:rsid w:val="5AF77B9B"/>
    <w:rsid w:val="5B0E6543"/>
    <w:rsid w:val="5B317CFB"/>
    <w:rsid w:val="5B544E3B"/>
    <w:rsid w:val="5B6F6842"/>
    <w:rsid w:val="5B967B3B"/>
    <w:rsid w:val="5B9A3CB5"/>
    <w:rsid w:val="5B9C77D4"/>
    <w:rsid w:val="5BCC25C3"/>
    <w:rsid w:val="5BD956F6"/>
    <w:rsid w:val="5C4C7245"/>
    <w:rsid w:val="5C514478"/>
    <w:rsid w:val="5C6B1600"/>
    <w:rsid w:val="5C74626A"/>
    <w:rsid w:val="5C921AD0"/>
    <w:rsid w:val="5CBC5C00"/>
    <w:rsid w:val="5CCE33B6"/>
    <w:rsid w:val="5CCF59D5"/>
    <w:rsid w:val="5CD506FB"/>
    <w:rsid w:val="5CEC0852"/>
    <w:rsid w:val="5CF11F4D"/>
    <w:rsid w:val="5D134559"/>
    <w:rsid w:val="5D285D09"/>
    <w:rsid w:val="5D437858"/>
    <w:rsid w:val="5D5107F3"/>
    <w:rsid w:val="5D7F292D"/>
    <w:rsid w:val="5D932F89"/>
    <w:rsid w:val="5DF07A97"/>
    <w:rsid w:val="5DF560E0"/>
    <w:rsid w:val="5DF73B4F"/>
    <w:rsid w:val="5DFD51DB"/>
    <w:rsid w:val="5E0D36E5"/>
    <w:rsid w:val="5E0E3CD2"/>
    <w:rsid w:val="5EC93EB0"/>
    <w:rsid w:val="5ED907FA"/>
    <w:rsid w:val="5EDC2CC4"/>
    <w:rsid w:val="5F530978"/>
    <w:rsid w:val="5F9C1FB9"/>
    <w:rsid w:val="5FC930FE"/>
    <w:rsid w:val="5FFB63BC"/>
    <w:rsid w:val="60046FC0"/>
    <w:rsid w:val="600C28B1"/>
    <w:rsid w:val="60210F40"/>
    <w:rsid w:val="60290171"/>
    <w:rsid w:val="604743EF"/>
    <w:rsid w:val="605B76AF"/>
    <w:rsid w:val="607C3753"/>
    <w:rsid w:val="60833AD5"/>
    <w:rsid w:val="609524A2"/>
    <w:rsid w:val="609D66B7"/>
    <w:rsid w:val="60AB572C"/>
    <w:rsid w:val="60C17A6F"/>
    <w:rsid w:val="60C30855"/>
    <w:rsid w:val="60DC11BD"/>
    <w:rsid w:val="60FD6A8A"/>
    <w:rsid w:val="610A746C"/>
    <w:rsid w:val="611E7A14"/>
    <w:rsid w:val="611F0AEA"/>
    <w:rsid w:val="61421EFD"/>
    <w:rsid w:val="615B5C49"/>
    <w:rsid w:val="615C5041"/>
    <w:rsid w:val="61701990"/>
    <w:rsid w:val="61774E66"/>
    <w:rsid w:val="61775C7A"/>
    <w:rsid w:val="617A7B9B"/>
    <w:rsid w:val="61A114F4"/>
    <w:rsid w:val="61F446AD"/>
    <w:rsid w:val="621606EA"/>
    <w:rsid w:val="62D95643"/>
    <w:rsid w:val="631E4ADB"/>
    <w:rsid w:val="634C2128"/>
    <w:rsid w:val="636D49EB"/>
    <w:rsid w:val="637B4FAA"/>
    <w:rsid w:val="63CD5B32"/>
    <w:rsid w:val="644F1BEF"/>
    <w:rsid w:val="64842805"/>
    <w:rsid w:val="64857194"/>
    <w:rsid w:val="648E6735"/>
    <w:rsid w:val="64F72692"/>
    <w:rsid w:val="64F90E10"/>
    <w:rsid w:val="652416F2"/>
    <w:rsid w:val="652A51C3"/>
    <w:rsid w:val="65602229"/>
    <w:rsid w:val="656D2999"/>
    <w:rsid w:val="65935921"/>
    <w:rsid w:val="66102965"/>
    <w:rsid w:val="66210E38"/>
    <w:rsid w:val="664805B8"/>
    <w:rsid w:val="66722FDA"/>
    <w:rsid w:val="669C7ACE"/>
    <w:rsid w:val="66B17833"/>
    <w:rsid w:val="66C52CA9"/>
    <w:rsid w:val="66D508D3"/>
    <w:rsid w:val="66D77565"/>
    <w:rsid w:val="66DE161A"/>
    <w:rsid w:val="66DE3600"/>
    <w:rsid w:val="671D1C28"/>
    <w:rsid w:val="67832303"/>
    <w:rsid w:val="67861B83"/>
    <w:rsid w:val="67B346EE"/>
    <w:rsid w:val="67CB73CE"/>
    <w:rsid w:val="67CE7B2D"/>
    <w:rsid w:val="67DA7BAF"/>
    <w:rsid w:val="681B060F"/>
    <w:rsid w:val="68CD2E64"/>
    <w:rsid w:val="68DE1611"/>
    <w:rsid w:val="690F418B"/>
    <w:rsid w:val="694B6536"/>
    <w:rsid w:val="696D2FD1"/>
    <w:rsid w:val="699C063A"/>
    <w:rsid w:val="6A2068B5"/>
    <w:rsid w:val="6A2451CA"/>
    <w:rsid w:val="6A2558BD"/>
    <w:rsid w:val="6A430ACC"/>
    <w:rsid w:val="6A460340"/>
    <w:rsid w:val="6A565B23"/>
    <w:rsid w:val="6A7A2736"/>
    <w:rsid w:val="6A7B4B9C"/>
    <w:rsid w:val="6A865A9C"/>
    <w:rsid w:val="6AB75DB6"/>
    <w:rsid w:val="6ABD3008"/>
    <w:rsid w:val="6AC21F74"/>
    <w:rsid w:val="6AC64760"/>
    <w:rsid w:val="6AE043A0"/>
    <w:rsid w:val="6AE24669"/>
    <w:rsid w:val="6B222A71"/>
    <w:rsid w:val="6B8C7B08"/>
    <w:rsid w:val="6B8E644D"/>
    <w:rsid w:val="6B90417B"/>
    <w:rsid w:val="6BB575E0"/>
    <w:rsid w:val="6BC07BDD"/>
    <w:rsid w:val="6C2C6374"/>
    <w:rsid w:val="6C6B2E5D"/>
    <w:rsid w:val="6C706368"/>
    <w:rsid w:val="6C89456C"/>
    <w:rsid w:val="6CA9489E"/>
    <w:rsid w:val="6CC9334F"/>
    <w:rsid w:val="6CD93433"/>
    <w:rsid w:val="6D43317B"/>
    <w:rsid w:val="6D4E221F"/>
    <w:rsid w:val="6D526AEA"/>
    <w:rsid w:val="6D612F85"/>
    <w:rsid w:val="6D6353D3"/>
    <w:rsid w:val="6D763AB7"/>
    <w:rsid w:val="6D83784F"/>
    <w:rsid w:val="6DA9560D"/>
    <w:rsid w:val="6DB371D6"/>
    <w:rsid w:val="6DBE08C8"/>
    <w:rsid w:val="6DDB16D3"/>
    <w:rsid w:val="6DE00F35"/>
    <w:rsid w:val="6E0C5549"/>
    <w:rsid w:val="6E351FF2"/>
    <w:rsid w:val="6E910E63"/>
    <w:rsid w:val="6EC915AC"/>
    <w:rsid w:val="6ED7047B"/>
    <w:rsid w:val="6F022B15"/>
    <w:rsid w:val="6F1A2493"/>
    <w:rsid w:val="6F2150D5"/>
    <w:rsid w:val="6F467914"/>
    <w:rsid w:val="6F592CB0"/>
    <w:rsid w:val="6F5C4459"/>
    <w:rsid w:val="6F752A52"/>
    <w:rsid w:val="6F8C0982"/>
    <w:rsid w:val="6F901B66"/>
    <w:rsid w:val="6F957829"/>
    <w:rsid w:val="6F971CA9"/>
    <w:rsid w:val="6FA629D4"/>
    <w:rsid w:val="6FD10552"/>
    <w:rsid w:val="704522F9"/>
    <w:rsid w:val="70607A2E"/>
    <w:rsid w:val="706A0FBA"/>
    <w:rsid w:val="70B90E60"/>
    <w:rsid w:val="70BB2EF0"/>
    <w:rsid w:val="70BE5D64"/>
    <w:rsid w:val="70DE4403"/>
    <w:rsid w:val="711C79FD"/>
    <w:rsid w:val="712C7E41"/>
    <w:rsid w:val="714F2B10"/>
    <w:rsid w:val="718B305D"/>
    <w:rsid w:val="71BA1A69"/>
    <w:rsid w:val="7241154A"/>
    <w:rsid w:val="724C20E1"/>
    <w:rsid w:val="72520A5C"/>
    <w:rsid w:val="727964FE"/>
    <w:rsid w:val="72A90FF4"/>
    <w:rsid w:val="72B847CD"/>
    <w:rsid w:val="72C1546B"/>
    <w:rsid w:val="72EB7520"/>
    <w:rsid w:val="72F67373"/>
    <w:rsid w:val="72FA46A1"/>
    <w:rsid w:val="72FC5649"/>
    <w:rsid w:val="730418F3"/>
    <w:rsid w:val="732C5792"/>
    <w:rsid w:val="73455C21"/>
    <w:rsid w:val="73817121"/>
    <w:rsid w:val="73A44FF0"/>
    <w:rsid w:val="73C16DC6"/>
    <w:rsid w:val="73D425F7"/>
    <w:rsid w:val="73DC3F3D"/>
    <w:rsid w:val="741D7214"/>
    <w:rsid w:val="74235503"/>
    <w:rsid w:val="7444697F"/>
    <w:rsid w:val="74777AD6"/>
    <w:rsid w:val="74B10A6C"/>
    <w:rsid w:val="74EB1461"/>
    <w:rsid w:val="750A2023"/>
    <w:rsid w:val="75186425"/>
    <w:rsid w:val="75672AFC"/>
    <w:rsid w:val="75C57CED"/>
    <w:rsid w:val="75CF1EFD"/>
    <w:rsid w:val="76356303"/>
    <w:rsid w:val="763753C5"/>
    <w:rsid w:val="763E108B"/>
    <w:rsid w:val="76515E10"/>
    <w:rsid w:val="766679F1"/>
    <w:rsid w:val="7676736A"/>
    <w:rsid w:val="767B0A8B"/>
    <w:rsid w:val="767F7268"/>
    <w:rsid w:val="76933951"/>
    <w:rsid w:val="76B0156B"/>
    <w:rsid w:val="76D22801"/>
    <w:rsid w:val="76EA04FB"/>
    <w:rsid w:val="77026720"/>
    <w:rsid w:val="771D661B"/>
    <w:rsid w:val="771F7714"/>
    <w:rsid w:val="778A0884"/>
    <w:rsid w:val="77C47127"/>
    <w:rsid w:val="77C77827"/>
    <w:rsid w:val="77F270AE"/>
    <w:rsid w:val="78323B18"/>
    <w:rsid w:val="786019DE"/>
    <w:rsid w:val="786862F1"/>
    <w:rsid w:val="786D5A24"/>
    <w:rsid w:val="7878243B"/>
    <w:rsid w:val="78782A0D"/>
    <w:rsid w:val="7883389A"/>
    <w:rsid w:val="7884239C"/>
    <w:rsid w:val="78D319C1"/>
    <w:rsid w:val="78D90469"/>
    <w:rsid w:val="78F92D89"/>
    <w:rsid w:val="790E76FB"/>
    <w:rsid w:val="792C2671"/>
    <w:rsid w:val="793156E6"/>
    <w:rsid w:val="79632130"/>
    <w:rsid w:val="79746717"/>
    <w:rsid w:val="7991338C"/>
    <w:rsid w:val="79A2171F"/>
    <w:rsid w:val="79A252FF"/>
    <w:rsid w:val="79B61010"/>
    <w:rsid w:val="79B87B65"/>
    <w:rsid w:val="79CE59E0"/>
    <w:rsid w:val="79CE6488"/>
    <w:rsid w:val="79D33056"/>
    <w:rsid w:val="79F11422"/>
    <w:rsid w:val="7A3E0D3F"/>
    <w:rsid w:val="7A803312"/>
    <w:rsid w:val="7A8154E9"/>
    <w:rsid w:val="7A906CCD"/>
    <w:rsid w:val="7AAE0141"/>
    <w:rsid w:val="7AE206DA"/>
    <w:rsid w:val="7AE82AF6"/>
    <w:rsid w:val="7B226C12"/>
    <w:rsid w:val="7B420027"/>
    <w:rsid w:val="7B6B27D9"/>
    <w:rsid w:val="7B84199A"/>
    <w:rsid w:val="7BDD743A"/>
    <w:rsid w:val="7C26369C"/>
    <w:rsid w:val="7C396F20"/>
    <w:rsid w:val="7C805BA4"/>
    <w:rsid w:val="7C8868A5"/>
    <w:rsid w:val="7C934551"/>
    <w:rsid w:val="7C940F43"/>
    <w:rsid w:val="7C9E5A24"/>
    <w:rsid w:val="7CAC00CB"/>
    <w:rsid w:val="7CC76BD4"/>
    <w:rsid w:val="7CCB1622"/>
    <w:rsid w:val="7CF03A72"/>
    <w:rsid w:val="7D022AC7"/>
    <w:rsid w:val="7D2D029F"/>
    <w:rsid w:val="7D575412"/>
    <w:rsid w:val="7D591D74"/>
    <w:rsid w:val="7D62117D"/>
    <w:rsid w:val="7DB54254"/>
    <w:rsid w:val="7DB5752C"/>
    <w:rsid w:val="7DB6724D"/>
    <w:rsid w:val="7DF95E9C"/>
    <w:rsid w:val="7E03036B"/>
    <w:rsid w:val="7E053373"/>
    <w:rsid w:val="7E2042F7"/>
    <w:rsid w:val="7E3E1EF2"/>
    <w:rsid w:val="7E532923"/>
    <w:rsid w:val="7E951513"/>
    <w:rsid w:val="7EA11669"/>
    <w:rsid w:val="7EBC2810"/>
    <w:rsid w:val="7EF6631E"/>
    <w:rsid w:val="7EF74FC9"/>
    <w:rsid w:val="7F1B649D"/>
    <w:rsid w:val="7F40442A"/>
    <w:rsid w:val="7F7339B4"/>
    <w:rsid w:val="7F91511A"/>
    <w:rsid w:val="7F98736F"/>
    <w:rsid w:val="7F9D0AE4"/>
    <w:rsid w:val="7FBB2F58"/>
    <w:rsid w:val="7FD11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D7B0CA-9067-45F9-98A3-55B95FE8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ody Text"/>
    <w:basedOn w:val="a"/>
    <w:qFormat/>
    <w:pPr>
      <w:spacing w:after="120"/>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Char1"/>
    <w:uiPriority w:val="99"/>
    <w:semiHidden/>
    <w:unhideWhenUsed/>
    <w:qFormat/>
    <w:rPr>
      <w:sz w:val="18"/>
      <w:szCs w:val="18"/>
    </w:rPr>
  </w:style>
  <w:style w:type="paragraph" w:styleId="a7">
    <w:name w:val="footer"/>
    <w:basedOn w:val="a"/>
    <w:uiPriority w:val="99"/>
    <w:semiHidden/>
    <w:unhideWhenUsed/>
    <w:qFormat/>
    <w:pPr>
      <w:tabs>
        <w:tab w:val="center" w:pos="4153"/>
        <w:tab w:val="right" w:pos="8306"/>
      </w:tabs>
      <w:snapToGrid w:val="0"/>
      <w:jc w:val="left"/>
    </w:pPr>
    <w:rPr>
      <w:sz w:val="18"/>
      <w:szCs w:val="18"/>
    </w:rPr>
  </w:style>
  <w:style w:type="paragraph" w:styleId="a8">
    <w:name w:val="header"/>
    <w:basedOn w:val="a"/>
    <w:semiHidden/>
    <w:qFormat/>
    <w:pPr>
      <w:tabs>
        <w:tab w:val="center" w:pos="4680"/>
        <w:tab w:val="right" w:pos="9360"/>
      </w:tabs>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tabs>
        <w:tab w:val="right" w:pos="420"/>
      </w:tabs>
      <w:ind w:leftChars="200" w:left="862" w:hangingChars="200" w:hanging="442"/>
      <w:jc w:val="left"/>
    </w:pPr>
    <w:rPr>
      <w:b/>
      <w:i/>
      <w:sz w:val="20"/>
    </w:rPr>
  </w:style>
  <w:style w:type="paragraph" w:styleId="aa">
    <w:name w:val="Normal (Web)"/>
    <w:basedOn w:val="a"/>
    <w:uiPriority w:val="99"/>
    <w:qFormat/>
    <w:pPr>
      <w:spacing w:before="100" w:beforeAutospacing="1" w:after="100" w:afterAutospacing="1"/>
    </w:pPr>
    <w:rPr>
      <w:rFonts w:ascii="Arial" w:hAnsi="Arial" w:cs="Arial"/>
      <w:color w:val="493118"/>
      <w:sz w:val="18"/>
      <w:szCs w:val="18"/>
    </w:rPr>
  </w:style>
  <w:style w:type="paragraph" w:styleId="ab">
    <w:name w:val="annotation subject"/>
    <w:basedOn w:val="a4"/>
    <w:next w:val="a4"/>
    <w:link w:val="Char2"/>
    <w:uiPriority w:val="99"/>
    <w:semiHidden/>
    <w:unhideWhenUsed/>
    <w:qFormat/>
    <w:rPr>
      <w:b/>
      <w:bCs/>
    </w:rPr>
  </w:style>
  <w:style w:type="table" w:styleId="ac">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Hyperlink"/>
    <w:basedOn w:val="a0"/>
    <w:uiPriority w:val="99"/>
    <w:unhideWhenUsed/>
    <w:qFormat/>
    <w:rPr>
      <w:color w:val="0000FF" w:themeColor="hyperlink"/>
      <w:u w:val="single"/>
    </w:rPr>
  </w:style>
  <w:style w:type="character" w:styleId="af">
    <w:name w:val="annotation reference"/>
    <w:uiPriority w:val="99"/>
    <w:qFormat/>
    <w:rPr>
      <w:sz w:val="16"/>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Char">
    <w:name w:val="文档结构图 Char"/>
    <w:basedOn w:val="a0"/>
    <w:link w:val="a3"/>
    <w:uiPriority w:val="99"/>
    <w:semiHidden/>
    <w:qFormat/>
    <w:rPr>
      <w:rFonts w:ascii="宋体"/>
      <w:kern w:val="2"/>
      <w:sz w:val="18"/>
      <w:szCs w:val="18"/>
    </w:rPr>
  </w:style>
  <w:style w:type="character" w:customStyle="1" w:styleId="Char1">
    <w:name w:val="批注框文本 Char"/>
    <w:basedOn w:val="a0"/>
    <w:link w:val="a6"/>
    <w:uiPriority w:val="99"/>
    <w:semiHidden/>
    <w:qFormat/>
    <w:rPr>
      <w:kern w:val="2"/>
      <w:sz w:val="18"/>
      <w:szCs w:val="18"/>
    </w:rPr>
  </w:style>
  <w:style w:type="character" w:customStyle="1" w:styleId="Char0">
    <w:name w:val="批注文字 Char"/>
    <w:basedOn w:val="a0"/>
    <w:link w:val="a4"/>
    <w:uiPriority w:val="99"/>
    <w:semiHidden/>
    <w:qFormat/>
    <w:rPr>
      <w:kern w:val="2"/>
      <w:sz w:val="21"/>
    </w:rPr>
  </w:style>
  <w:style w:type="character" w:customStyle="1" w:styleId="Char2">
    <w:name w:val="批注主题 Char"/>
    <w:basedOn w:val="Char0"/>
    <w:link w:val="ab"/>
    <w:qFormat/>
    <w:rPr>
      <w:kern w:val="2"/>
      <w:sz w:val="21"/>
    </w:rPr>
  </w:style>
  <w:style w:type="paragraph" w:customStyle="1" w:styleId="B1">
    <w:name w:val="B1"/>
    <w:basedOn w:val="a"/>
    <w:qFormat/>
    <w:pPr>
      <w:ind w:left="568" w:hanging="284"/>
    </w:pPr>
    <w:rPr>
      <w:lang w:val="zh-CN"/>
    </w:r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4092</Words>
  <Characters>23331</Characters>
  <Application>Microsoft Office Word</Application>
  <DocSecurity>0</DocSecurity>
  <Lines>194</Lines>
  <Paragraphs>54</Paragraphs>
  <ScaleCrop>false</ScaleCrop>
  <Company>ZTE</Company>
  <LinksUpToDate>false</LinksUpToDate>
  <CharactersWithSpaces>27369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33</cp:revision>
  <dcterms:created xsi:type="dcterms:W3CDTF">2021-01-17T13:40:00Z</dcterms:created>
  <dcterms:modified xsi:type="dcterms:W3CDTF">2021-08-06T09:49:00Z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